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B4773B" w:rsidRDefault="00320FC3" w:rsidP="001B37EE">
      <w:pPr>
        <w:jc w:val="center"/>
        <w:outlineLvl w:val="0"/>
      </w:pPr>
      <w:bookmarkStart w:id="0" w:name="_GoBack"/>
      <w:bookmarkEnd w:id="0"/>
      <w:r w:rsidRPr="00B4773B">
        <w:rPr>
          <w:noProof/>
        </w:rPr>
        <w:drawing>
          <wp:anchor distT="0" distB="0" distL="114300" distR="114300" simplePos="0" relativeHeight="251659264" behindDoc="0" locked="0" layoutInCell="1" allowOverlap="1" wp14:anchorId="50913CE9" wp14:editId="6EDA99FF">
            <wp:simplePos x="0" y="0"/>
            <wp:positionH relativeFrom="column">
              <wp:posOffset>2713990</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Pr="00B4773B" w:rsidRDefault="00DB1081" w:rsidP="001B37EE">
      <w:pPr>
        <w:jc w:val="center"/>
        <w:outlineLvl w:val="0"/>
      </w:pPr>
    </w:p>
    <w:p w:rsidR="00DB1081" w:rsidRPr="00B4773B" w:rsidRDefault="00DB1081" w:rsidP="001B37EE">
      <w:pPr>
        <w:jc w:val="center"/>
        <w:outlineLvl w:val="0"/>
        <w:rPr>
          <w:b/>
        </w:rPr>
      </w:pPr>
    </w:p>
    <w:p w:rsidR="00DB1081" w:rsidRPr="00B4773B" w:rsidRDefault="00DB1081" w:rsidP="001B37EE">
      <w:pPr>
        <w:jc w:val="center"/>
        <w:outlineLvl w:val="0"/>
        <w:rPr>
          <w:b/>
        </w:rPr>
      </w:pPr>
    </w:p>
    <w:p w:rsidR="00DB1081" w:rsidRPr="00B4773B" w:rsidRDefault="00DB1081" w:rsidP="001B37EE">
      <w:pPr>
        <w:jc w:val="center"/>
        <w:outlineLvl w:val="0"/>
        <w:rPr>
          <w:b/>
        </w:rPr>
      </w:pPr>
    </w:p>
    <w:p w:rsidR="00DB1081" w:rsidRPr="00192DD7" w:rsidRDefault="00DB1081" w:rsidP="001B37EE">
      <w:pPr>
        <w:jc w:val="center"/>
        <w:outlineLvl w:val="0"/>
        <w:rPr>
          <w:b/>
          <w:sz w:val="20"/>
          <w:szCs w:val="20"/>
        </w:rPr>
      </w:pPr>
    </w:p>
    <w:p w:rsidR="00B4773B" w:rsidRPr="00192DD7" w:rsidRDefault="00B4773B" w:rsidP="001B37EE">
      <w:pPr>
        <w:jc w:val="center"/>
        <w:outlineLvl w:val="0"/>
        <w:rPr>
          <w:b/>
          <w:sz w:val="20"/>
          <w:szCs w:val="20"/>
        </w:rPr>
      </w:pPr>
    </w:p>
    <w:p w:rsidR="00DB1081" w:rsidRPr="00111B2F" w:rsidRDefault="00DB1081" w:rsidP="00DB1081">
      <w:pPr>
        <w:jc w:val="center"/>
        <w:rPr>
          <w:b/>
          <w:sz w:val="22"/>
          <w:szCs w:val="22"/>
        </w:rPr>
      </w:pPr>
      <w:r w:rsidRPr="00111B2F">
        <w:rPr>
          <w:b/>
          <w:sz w:val="22"/>
          <w:szCs w:val="22"/>
        </w:rPr>
        <w:t>РЕВИЗИОННАЯ КОМИССИЯ КАРГАТСКОГО РАЙОНА</w:t>
      </w:r>
    </w:p>
    <w:p w:rsidR="00DB1081" w:rsidRPr="00111B2F" w:rsidRDefault="00DB1081" w:rsidP="00DB1081">
      <w:pPr>
        <w:jc w:val="center"/>
        <w:rPr>
          <w:b/>
          <w:sz w:val="22"/>
          <w:szCs w:val="22"/>
        </w:rPr>
      </w:pPr>
      <w:r w:rsidRPr="00111B2F">
        <w:rPr>
          <w:b/>
          <w:sz w:val="22"/>
          <w:szCs w:val="22"/>
        </w:rPr>
        <w:t>НОВОСИБИРСКОЙ ОБЛАСТИ</w:t>
      </w:r>
    </w:p>
    <w:p w:rsidR="00DB1081" w:rsidRPr="00192DD7" w:rsidRDefault="00DB1081" w:rsidP="00DB1081">
      <w:pPr>
        <w:jc w:val="center"/>
        <w:rPr>
          <w:sz w:val="20"/>
          <w:szCs w:val="20"/>
        </w:rPr>
      </w:pPr>
    </w:p>
    <w:p w:rsidR="00D0311B" w:rsidRPr="00192DD7" w:rsidRDefault="00D0311B" w:rsidP="00DB1081">
      <w:pPr>
        <w:jc w:val="center"/>
        <w:rPr>
          <w:sz w:val="20"/>
          <w:szCs w:val="20"/>
        </w:rPr>
      </w:pPr>
    </w:p>
    <w:p w:rsidR="00DB1081" w:rsidRPr="0029403D" w:rsidRDefault="00DB1081" w:rsidP="00DB1081">
      <w:pPr>
        <w:jc w:val="center"/>
        <w:rPr>
          <w:b/>
        </w:rPr>
      </w:pPr>
      <w:r w:rsidRPr="0029403D">
        <w:rPr>
          <w:b/>
        </w:rPr>
        <w:t xml:space="preserve">ЭКСПЕРТНОЕ ЗАКЛЮЧЕНИЕ </w:t>
      </w:r>
    </w:p>
    <w:p w:rsidR="001E60F9" w:rsidRPr="0029403D"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r w:rsidR="00B0167B">
        <w:rPr>
          <w:sz w:val="24"/>
          <w:szCs w:val="24"/>
        </w:rPr>
        <w:t>Кубан</w:t>
      </w:r>
      <w:r w:rsidR="00804797" w:rsidRPr="0029403D">
        <w:rPr>
          <w:sz w:val="24"/>
          <w:szCs w:val="24"/>
        </w:rPr>
        <w:t>ского сельсовета Каргатского района Новосибирской области</w:t>
      </w:r>
      <w:r w:rsidRPr="0029403D">
        <w:rPr>
          <w:sz w:val="24"/>
          <w:szCs w:val="24"/>
        </w:rPr>
        <w:t xml:space="preserve"> за </w:t>
      </w:r>
      <w:r w:rsidR="0099504D">
        <w:rPr>
          <w:sz w:val="24"/>
          <w:szCs w:val="24"/>
        </w:rPr>
        <w:t>2015</w:t>
      </w:r>
      <w:r w:rsidRPr="0029403D">
        <w:rPr>
          <w:sz w:val="24"/>
          <w:szCs w:val="24"/>
        </w:rPr>
        <w:t xml:space="preserve"> год</w:t>
      </w:r>
    </w:p>
    <w:p w:rsidR="006F5572" w:rsidRDefault="0027743A" w:rsidP="001541BE">
      <w:pPr>
        <w:pStyle w:val="a4"/>
        <w:spacing w:before="480" w:after="240"/>
        <w:ind w:firstLine="567"/>
        <w:jc w:val="right"/>
      </w:pPr>
      <w:r>
        <w:t>10</w:t>
      </w:r>
      <w:r w:rsidR="006F5572">
        <w:t>.</w:t>
      </w:r>
      <w:r w:rsidR="0099504D">
        <w:t>06</w:t>
      </w:r>
      <w:r w:rsidR="006F5572">
        <w:t>.</w:t>
      </w:r>
      <w:r w:rsidR="0099504D">
        <w:t>2016</w:t>
      </w:r>
    </w:p>
    <w:p w:rsidR="00080C19" w:rsidRPr="006F5572" w:rsidRDefault="00080C19" w:rsidP="00AE245D">
      <w:pPr>
        <w:ind w:firstLine="567"/>
        <w:jc w:val="both"/>
        <w:rPr>
          <w:spacing w:val="-2"/>
        </w:rPr>
      </w:pPr>
      <w:proofErr w:type="gramStart"/>
      <w:r w:rsidRPr="006F5572">
        <w:rPr>
          <w:spacing w:val="-2"/>
        </w:rPr>
        <w:t xml:space="preserve">Экспертное заключение </w:t>
      </w:r>
      <w:r w:rsidR="00506301" w:rsidRPr="006F5572">
        <w:rPr>
          <w:spacing w:val="-2"/>
        </w:rPr>
        <w:t xml:space="preserve">Ревизионной </w:t>
      </w:r>
      <w:r w:rsidR="00A17EE6" w:rsidRPr="006F5572">
        <w:rPr>
          <w:spacing w:val="-2"/>
        </w:rPr>
        <w:t>комиссии</w:t>
      </w:r>
      <w:r w:rsidR="00506301" w:rsidRPr="006F5572">
        <w:rPr>
          <w:spacing w:val="-2"/>
        </w:rPr>
        <w:t xml:space="preserve"> </w:t>
      </w:r>
      <w:r w:rsidR="00A17EE6" w:rsidRPr="006F5572">
        <w:rPr>
          <w:spacing w:val="-2"/>
        </w:rPr>
        <w:t>Каргатского</w:t>
      </w:r>
      <w:r w:rsidR="00506301" w:rsidRPr="006F5572">
        <w:rPr>
          <w:spacing w:val="-2"/>
        </w:rPr>
        <w:t xml:space="preserve"> района</w:t>
      </w:r>
      <w:r w:rsidR="00A17EE6" w:rsidRPr="006F5572">
        <w:rPr>
          <w:spacing w:val="-2"/>
        </w:rPr>
        <w:t xml:space="preserve"> </w:t>
      </w:r>
      <w:r w:rsidR="001F1C1B" w:rsidRPr="006F5572">
        <w:rPr>
          <w:spacing w:val="-2"/>
        </w:rPr>
        <w:t xml:space="preserve">по результатам внешней проверки годового отчёта об исполнении бюджета </w:t>
      </w:r>
      <w:r w:rsidR="00B0167B" w:rsidRPr="006F5572">
        <w:rPr>
          <w:spacing w:val="-2"/>
        </w:rPr>
        <w:t>Кубан</w:t>
      </w:r>
      <w:r w:rsidR="001F1C1B" w:rsidRPr="006F5572">
        <w:rPr>
          <w:spacing w:val="-2"/>
        </w:rPr>
        <w:t>ского сельсовета Каргатск</w:t>
      </w:r>
      <w:r w:rsidR="001F1C1B" w:rsidRPr="006F5572">
        <w:rPr>
          <w:spacing w:val="-2"/>
        </w:rPr>
        <w:t>о</w:t>
      </w:r>
      <w:r w:rsidR="001F1C1B" w:rsidRPr="006F5572">
        <w:rPr>
          <w:spacing w:val="-2"/>
        </w:rPr>
        <w:t xml:space="preserve">го района Новосибирской области за </w:t>
      </w:r>
      <w:r w:rsidR="0099504D">
        <w:rPr>
          <w:spacing w:val="-2"/>
        </w:rPr>
        <w:t>2015</w:t>
      </w:r>
      <w:r w:rsidR="001F1C1B" w:rsidRPr="006F5572">
        <w:rPr>
          <w:spacing w:val="-2"/>
        </w:rPr>
        <w:t xml:space="preserve"> год</w:t>
      </w:r>
      <w:r w:rsidR="00E2681F" w:rsidRPr="006F5572">
        <w:rPr>
          <w:spacing w:val="-2"/>
        </w:rPr>
        <w:t xml:space="preserve"> (далее - </w:t>
      </w:r>
      <w:r w:rsidR="00135AAE" w:rsidRPr="006F5572">
        <w:rPr>
          <w:spacing w:val="-2"/>
        </w:rPr>
        <w:t>о</w:t>
      </w:r>
      <w:r w:rsidR="00E2681F" w:rsidRPr="006F5572">
        <w:rPr>
          <w:spacing w:val="-2"/>
        </w:rPr>
        <w:t>тчёт</w:t>
      </w:r>
      <w:r w:rsidR="00A17EE6" w:rsidRPr="006F5572">
        <w:rPr>
          <w:spacing w:val="-2"/>
        </w:rPr>
        <w:t xml:space="preserve"> </w:t>
      </w:r>
      <w:r w:rsidR="00E2681F" w:rsidRPr="006F5572">
        <w:rPr>
          <w:spacing w:val="-2"/>
        </w:rPr>
        <w:t>об исполнении</w:t>
      </w:r>
      <w:r w:rsidR="004812A7" w:rsidRPr="006F5572">
        <w:rPr>
          <w:spacing w:val="-2"/>
        </w:rPr>
        <w:t xml:space="preserve"> местного</w:t>
      </w:r>
      <w:r w:rsidR="00E2681F" w:rsidRPr="006F5572">
        <w:rPr>
          <w:spacing w:val="-2"/>
        </w:rPr>
        <w:t xml:space="preserve"> бюджета за </w:t>
      </w:r>
      <w:r w:rsidR="0099504D">
        <w:rPr>
          <w:spacing w:val="-2"/>
        </w:rPr>
        <w:t>2015</w:t>
      </w:r>
      <w:r w:rsidR="00E2681F" w:rsidRPr="006F5572">
        <w:rPr>
          <w:spacing w:val="-2"/>
        </w:rPr>
        <w:t xml:space="preserve"> год) </w:t>
      </w:r>
      <w:r w:rsidRPr="006F5572">
        <w:rPr>
          <w:spacing w:val="-2"/>
        </w:rPr>
        <w:t>подготовлено в соответстви</w:t>
      </w:r>
      <w:r w:rsidR="006F5572" w:rsidRPr="006F5572">
        <w:rPr>
          <w:spacing w:val="-2"/>
        </w:rPr>
        <w:t>е</w:t>
      </w:r>
      <w:r w:rsidR="00B11085" w:rsidRPr="006F5572">
        <w:rPr>
          <w:spacing w:val="-2"/>
        </w:rPr>
        <w:t xml:space="preserve"> стать</w:t>
      </w:r>
      <w:r w:rsidR="006F5572" w:rsidRPr="006F5572">
        <w:rPr>
          <w:spacing w:val="-2"/>
        </w:rPr>
        <w:t>е</w:t>
      </w:r>
      <w:r w:rsidR="00B11085" w:rsidRPr="006F5572">
        <w:rPr>
          <w:spacing w:val="-2"/>
        </w:rPr>
        <w:t xml:space="preserve"> 264.4</w:t>
      </w:r>
      <w:r w:rsidRPr="006F5572">
        <w:rPr>
          <w:spacing w:val="-2"/>
        </w:rPr>
        <w:t xml:space="preserve"> Бюджетн</w:t>
      </w:r>
      <w:r w:rsidR="00B11085" w:rsidRPr="006F5572">
        <w:rPr>
          <w:spacing w:val="-2"/>
        </w:rPr>
        <w:t>ого</w:t>
      </w:r>
      <w:r w:rsidRPr="006F5572">
        <w:rPr>
          <w:spacing w:val="-2"/>
        </w:rPr>
        <w:t xml:space="preserve"> кодекс</w:t>
      </w:r>
      <w:r w:rsidR="00B11085" w:rsidRPr="006F5572">
        <w:rPr>
          <w:spacing w:val="-2"/>
        </w:rPr>
        <w:t>а</w:t>
      </w:r>
      <w:r w:rsidRPr="006F5572">
        <w:rPr>
          <w:spacing w:val="-2"/>
        </w:rPr>
        <w:t xml:space="preserve"> Р</w:t>
      </w:r>
      <w:r w:rsidR="00A17EE6" w:rsidRPr="006F5572">
        <w:rPr>
          <w:spacing w:val="-2"/>
        </w:rPr>
        <w:t xml:space="preserve">оссийской </w:t>
      </w:r>
      <w:r w:rsidRPr="006F5572">
        <w:rPr>
          <w:spacing w:val="-2"/>
        </w:rPr>
        <w:t>Ф</w:t>
      </w:r>
      <w:r w:rsidR="00A17EE6" w:rsidRPr="006F5572">
        <w:rPr>
          <w:spacing w:val="-2"/>
        </w:rPr>
        <w:t>ед</w:t>
      </w:r>
      <w:r w:rsidR="00A17EE6" w:rsidRPr="006F5572">
        <w:rPr>
          <w:spacing w:val="-2"/>
        </w:rPr>
        <w:t>е</w:t>
      </w:r>
      <w:r w:rsidR="00A17EE6" w:rsidRPr="006F5572">
        <w:rPr>
          <w:spacing w:val="-2"/>
        </w:rPr>
        <w:t>рации</w:t>
      </w:r>
      <w:r w:rsidRPr="006F5572">
        <w:rPr>
          <w:spacing w:val="-2"/>
        </w:rPr>
        <w:t xml:space="preserve"> (</w:t>
      </w:r>
      <w:r w:rsidR="00A17EE6" w:rsidRPr="006F5572">
        <w:rPr>
          <w:spacing w:val="-2"/>
        </w:rPr>
        <w:t xml:space="preserve">далее – </w:t>
      </w:r>
      <w:r w:rsidRPr="006F5572">
        <w:rPr>
          <w:spacing w:val="-2"/>
        </w:rPr>
        <w:t xml:space="preserve">БК РФ), </w:t>
      </w:r>
      <w:r w:rsidR="007D75B5" w:rsidRPr="006F5572">
        <w:rPr>
          <w:spacing w:val="-2"/>
        </w:rPr>
        <w:t>стать</w:t>
      </w:r>
      <w:r w:rsidR="006F5572" w:rsidRPr="006F5572">
        <w:rPr>
          <w:spacing w:val="-2"/>
        </w:rPr>
        <w:t>е</w:t>
      </w:r>
      <w:r w:rsidR="007D75B5" w:rsidRPr="006F5572">
        <w:rPr>
          <w:spacing w:val="-2"/>
        </w:rPr>
        <w:t xml:space="preserve"> </w:t>
      </w:r>
      <w:r w:rsidR="00E300FD" w:rsidRPr="006F5572">
        <w:rPr>
          <w:spacing w:val="-2"/>
        </w:rPr>
        <w:t>82</w:t>
      </w:r>
      <w:r w:rsidR="007D75B5" w:rsidRPr="006F5572">
        <w:rPr>
          <w:spacing w:val="-2"/>
        </w:rPr>
        <w:t xml:space="preserve"> </w:t>
      </w:r>
      <w:r w:rsidR="005A1015" w:rsidRPr="006F5572">
        <w:rPr>
          <w:spacing w:val="-2"/>
        </w:rPr>
        <w:t>Положени</w:t>
      </w:r>
      <w:r w:rsidR="007D75B5" w:rsidRPr="006F5572">
        <w:rPr>
          <w:spacing w:val="-2"/>
        </w:rPr>
        <w:t>я</w:t>
      </w:r>
      <w:r w:rsidR="005A1015" w:rsidRPr="006F5572">
        <w:rPr>
          <w:spacing w:val="-2"/>
        </w:rPr>
        <w:t xml:space="preserve"> о</w:t>
      </w:r>
      <w:r w:rsidRPr="006F5572">
        <w:rPr>
          <w:spacing w:val="-2"/>
        </w:rPr>
        <w:t xml:space="preserve"> бюджетном</w:t>
      </w:r>
      <w:r w:rsidR="002337AD" w:rsidRPr="006F5572">
        <w:rPr>
          <w:spacing w:val="-2"/>
        </w:rPr>
        <w:t xml:space="preserve"> устройстве и бюджетном</w:t>
      </w:r>
      <w:r w:rsidR="00422724" w:rsidRPr="006F5572">
        <w:rPr>
          <w:spacing w:val="-2"/>
        </w:rPr>
        <w:t xml:space="preserve"> </w:t>
      </w:r>
      <w:r w:rsidRPr="006F5572">
        <w:rPr>
          <w:spacing w:val="-2"/>
        </w:rPr>
        <w:t xml:space="preserve">процессе </w:t>
      </w:r>
      <w:r w:rsidR="00E2682F" w:rsidRPr="006F5572">
        <w:rPr>
          <w:spacing w:val="-2"/>
        </w:rPr>
        <w:t xml:space="preserve">в </w:t>
      </w:r>
      <w:r w:rsidR="00B0167B" w:rsidRPr="006F5572">
        <w:rPr>
          <w:spacing w:val="-2"/>
        </w:rPr>
        <w:t>Кубан</w:t>
      </w:r>
      <w:r w:rsidR="005A1015" w:rsidRPr="006F5572">
        <w:rPr>
          <w:spacing w:val="-2"/>
        </w:rPr>
        <w:t>ск</w:t>
      </w:r>
      <w:r w:rsidR="00E2682F" w:rsidRPr="006F5572">
        <w:rPr>
          <w:spacing w:val="-2"/>
        </w:rPr>
        <w:t>о</w:t>
      </w:r>
      <w:r w:rsidR="002337AD" w:rsidRPr="006F5572">
        <w:rPr>
          <w:spacing w:val="-2"/>
        </w:rPr>
        <w:t>м</w:t>
      </w:r>
      <w:r w:rsidR="005A1015" w:rsidRPr="006F5572">
        <w:rPr>
          <w:spacing w:val="-2"/>
        </w:rPr>
        <w:t xml:space="preserve"> сельсовет</w:t>
      </w:r>
      <w:r w:rsidR="002337AD" w:rsidRPr="006F5572">
        <w:rPr>
          <w:spacing w:val="-2"/>
        </w:rPr>
        <w:t>е</w:t>
      </w:r>
      <w:r w:rsidR="005A1015" w:rsidRPr="006F5572">
        <w:rPr>
          <w:spacing w:val="-2"/>
        </w:rPr>
        <w:t xml:space="preserve"> Каргатского района </w:t>
      </w:r>
      <w:r w:rsidRPr="006F5572">
        <w:rPr>
          <w:spacing w:val="-2"/>
        </w:rPr>
        <w:t>Новосибирской</w:t>
      </w:r>
      <w:proofErr w:type="gramEnd"/>
      <w:r w:rsidRPr="006F5572">
        <w:rPr>
          <w:spacing w:val="-2"/>
        </w:rPr>
        <w:t xml:space="preserve"> </w:t>
      </w:r>
      <w:proofErr w:type="gramStart"/>
      <w:r w:rsidRPr="006F5572">
        <w:rPr>
          <w:spacing w:val="-2"/>
        </w:rPr>
        <w:t>области</w:t>
      </w:r>
      <w:r w:rsidR="00FB11DC" w:rsidRPr="006F5572">
        <w:rPr>
          <w:spacing w:val="-2"/>
        </w:rPr>
        <w:t>, утверждённ</w:t>
      </w:r>
      <w:r w:rsidR="006F5572" w:rsidRPr="006F5572">
        <w:rPr>
          <w:spacing w:val="-2"/>
        </w:rPr>
        <w:t>ого</w:t>
      </w:r>
      <w:r w:rsidR="00FB11DC" w:rsidRPr="006F5572">
        <w:rPr>
          <w:spacing w:val="-2"/>
        </w:rPr>
        <w:t xml:space="preserve"> решен</w:t>
      </w:r>
      <w:r w:rsidR="00FB11DC" w:rsidRPr="006F5572">
        <w:rPr>
          <w:spacing w:val="-2"/>
        </w:rPr>
        <w:t>и</w:t>
      </w:r>
      <w:r w:rsidR="00FB11DC" w:rsidRPr="006F5572">
        <w:rPr>
          <w:spacing w:val="-2"/>
        </w:rPr>
        <w:t>ем</w:t>
      </w:r>
      <w:r w:rsidR="00D35230" w:rsidRPr="006F5572">
        <w:rPr>
          <w:spacing w:val="-2"/>
        </w:rPr>
        <w:t xml:space="preserve"> </w:t>
      </w:r>
      <w:r w:rsidR="00AC537B" w:rsidRPr="006F5572">
        <w:rPr>
          <w:spacing w:val="-2"/>
        </w:rPr>
        <w:t>5</w:t>
      </w:r>
      <w:r w:rsidR="00D35230" w:rsidRPr="006F5572">
        <w:rPr>
          <w:spacing w:val="-2"/>
        </w:rPr>
        <w:t>-й сессии</w:t>
      </w:r>
      <w:r w:rsidR="00F46508" w:rsidRPr="006F5572">
        <w:rPr>
          <w:spacing w:val="-2"/>
        </w:rPr>
        <w:t xml:space="preserve"> 4 созыва Совета депутатов </w:t>
      </w:r>
      <w:r w:rsidR="00B0167B" w:rsidRPr="006F5572">
        <w:rPr>
          <w:spacing w:val="-2"/>
        </w:rPr>
        <w:t>Кубан</w:t>
      </w:r>
      <w:r w:rsidR="00F46508" w:rsidRPr="006F5572">
        <w:rPr>
          <w:spacing w:val="-2"/>
        </w:rPr>
        <w:t>ского сельсовета Каргатского района Новос</w:t>
      </w:r>
      <w:r w:rsidR="00F46508" w:rsidRPr="006F5572">
        <w:rPr>
          <w:spacing w:val="-2"/>
        </w:rPr>
        <w:t>и</w:t>
      </w:r>
      <w:r w:rsidR="00F46508" w:rsidRPr="006F5572">
        <w:rPr>
          <w:spacing w:val="-2"/>
        </w:rPr>
        <w:t xml:space="preserve">бирской области от </w:t>
      </w:r>
      <w:r w:rsidR="00AC537B" w:rsidRPr="006F5572">
        <w:rPr>
          <w:spacing w:val="-2"/>
        </w:rPr>
        <w:t>24.12</w:t>
      </w:r>
      <w:r w:rsidR="00F46508" w:rsidRPr="006F5572">
        <w:rPr>
          <w:spacing w:val="-2"/>
        </w:rPr>
        <w:t>.</w:t>
      </w:r>
      <w:r w:rsidR="007B2041" w:rsidRPr="006F5572">
        <w:rPr>
          <w:spacing w:val="-2"/>
        </w:rPr>
        <w:t>2010</w:t>
      </w:r>
      <w:r w:rsidR="00F46508" w:rsidRPr="006F5572">
        <w:rPr>
          <w:spacing w:val="-2"/>
        </w:rPr>
        <w:t xml:space="preserve"> № </w:t>
      </w:r>
      <w:r w:rsidR="00AC537B" w:rsidRPr="006F5572">
        <w:rPr>
          <w:spacing w:val="-2"/>
        </w:rPr>
        <w:t>27</w:t>
      </w:r>
      <w:r w:rsidR="00F46508" w:rsidRPr="006F5572">
        <w:rPr>
          <w:spacing w:val="-2"/>
        </w:rPr>
        <w:t>,</w:t>
      </w:r>
      <w:r w:rsidRPr="006F5572">
        <w:rPr>
          <w:spacing w:val="-2"/>
        </w:rPr>
        <w:t xml:space="preserve"> </w:t>
      </w:r>
      <w:r w:rsidR="006F5572" w:rsidRPr="006F5572">
        <w:rPr>
          <w:spacing w:val="-2"/>
        </w:rPr>
        <w:t>пункту 3 статьи 4 Положения о Ревизионной комиссии Каргатского района Новосибирской области, утверждённого решением 14 сессии 2 созыва С</w:t>
      </w:r>
      <w:r w:rsidR="006F5572" w:rsidRPr="006F5572">
        <w:rPr>
          <w:spacing w:val="-2"/>
        </w:rPr>
        <w:t>о</w:t>
      </w:r>
      <w:r w:rsidR="006F5572" w:rsidRPr="006F5572">
        <w:rPr>
          <w:spacing w:val="-2"/>
        </w:rPr>
        <w:t>вета депутатов Каргатского района Новосибирской области от 23.11.2011 № 157, пункту 1 С</w:t>
      </w:r>
      <w:r w:rsidR="006F5572" w:rsidRPr="006F5572">
        <w:rPr>
          <w:spacing w:val="-2"/>
        </w:rPr>
        <w:t>о</w:t>
      </w:r>
      <w:r w:rsidR="006F5572" w:rsidRPr="006F5572">
        <w:rPr>
          <w:spacing w:val="-2"/>
        </w:rPr>
        <w:t>глашения о передаче полномочий ревизионной комиссии Каргатского района от 14.03.</w:t>
      </w:r>
      <w:r w:rsidR="0099504D">
        <w:rPr>
          <w:spacing w:val="-2"/>
        </w:rPr>
        <w:t>2014</w:t>
      </w:r>
      <w:r w:rsidR="006F5572" w:rsidRPr="006F5572">
        <w:rPr>
          <w:spacing w:val="-2"/>
        </w:rPr>
        <w:t>, пункту 12 Плана</w:t>
      </w:r>
      <w:proofErr w:type="gramEnd"/>
      <w:r w:rsidR="006F5572" w:rsidRPr="006F5572">
        <w:rPr>
          <w:spacing w:val="-2"/>
        </w:rPr>
        <w:t xml:space="preserve"> работы Ревизионной комиссии Каргатского района на </w:t>
      </w:r>
      <w:r w:rsidR="0099504D">
        <w:rPr>
          <w:spacing w:val="-2"/>
        </w:rPr>
        <w:t>2016</w:t>
      </w:r>
      <w:r w:rsidR="006F5572" w:rsidRPr="006F5572">
        <w:rPr>
          <w:spacing w:val="-2"/>
        </w:rPr>
        <w:t xml:space="preserve"> год</w:t>
      </w:r>
      <w:r w:rsidR="007B2041" w:rsidRPr="006F5572">
        <w:rPr>
          <w:spacing w:val="-2"/>
        </w:rPr>
        <w:t>.</w:t>
      </w:r>
    </w:p>
    <w:p w:rsidR="006F5572" w:rsidRDefault="006F5572" w:rsidP="006F5572">
      <w:pPr>
        <w:spacing w:before="60"/>
        <w:ind w:firstLine="567"/>
        <w:jc w:val="both"/>
      </w:pPr>
      <w:r>
        <w:t xml:space="preserve">Отчёт об исполнении местного бюджета за </w:t>
      </w:r>
      <w:r w:rsidR="0099504D">
        <w:t>2015</w:t>
      </w:r>
      <w:r>
        <w:t xml:space="preserve"> год с пояснительной запиской и д</w:t>
      </w:r>
      <w:r>
        <w:t>о</w:t>
      </w:r>
      <w:r>
        <w:t xml:space="preserve">полнительными материалами поступил в Ревизионную комиссию </w:t>
      </w:r>
      <w:r>
        <w:rPr>
          <w:b/>
          <w:i/>
        </w:rPr>
        <w:t>в нарушение срока, уст</w:t>
      </w:r>
      <w:r>
        <w:rPr>
          <w:b/>
          <w:i/>
        </w:rPr>
        <w:t>а</w:t>
      </w:r>
      <w:r>
        <w:rPr>
          <w:b/>
          <w:i/>
        </w:rPr>
        <w:t>новленного пунктом 3 статьи 264.4 БК РФ:</w:t>
      </w:r>
    </w:p>
    <w:p w:rsidR="006F5572" w:rsidRDefault="006F5572" w:rsidP="006F5572">
      <w:pPr>
        <w:widowControl w:val="0"/>
        <w:autoSpaceDE w:val="0"/>
        <w:autoSpaceDN w:val="0"/>
        <w:adjustRightInd w:val="0"/>
        <w:spacing w:before="40"/>
        <w:ind w:firstLine="540"/>
        <w:jc w:val="both"/>
        <w:rPr>
          <w:i/>
          <w:sz w:val="20"/>
          <w:szCs w:val="20"/>
        </w:rPr>
      </w:pPr>
      <w:r>
        <w:rPr>
          <w:i/>
          <w:sz w:val="20"/>
          <w:szCs w:val="20"/>
        </w:rPr>
        <w:t>«Местная администрация представляет отчет об исполнении местного бюджета для подготовки з</w:t>
      </w:r>
      <w:r>
        <w:rPr>
          <w:i/>
          <w:sz w:val="20"/>
          <w:szCs w:val="20"/>
        </w:rPr>
        <w:t>а</w:t>
      </w:r>
      <w:r>
        <w:rPr>
          <w:i/>
          <w:sz w:val="20"/>
          <w:szCs w:val="20"/>
        </w:rPr>
        <w:t>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F5572" w:rsidRDefault="006F5572" w:rsidP="006F5572">
      <w:pPr>
        <w:widowControl w:val="0"/>
        <w:autoSpaceDE w:val="0"/>
        <w:autoSpaceDN w:val="0"/>
        <w:adjustRightInd w:val="0"/>
        <w:spacing w:before="40"/>
        <w:jc w:val="both"/>
      </w:pPr>
      <w:r>
        <w:t xml:space="preserve">фактически документы поступили </w:t>
      </w:r>
      <w:r w:rsidR="003407EE">
        <w:t>02</w:t>
      </w:r>
      <w:r>
        <w:t>.06.</w:t>
      </w:r>
      <w:r w:rsidR="0099504D">
        <w:t>2016</w:t>
      </w:r>
      <w:r>
        <w:t>.</w:t>
      </w:r>
    </w:p>
    <w:p w:rsidR="00CE4D84" w:rsidRPr="00EC63AF" w:rsidRDefault="00CE4D84" w:rsidP="00CE4D84">
      <w:pPr>
        <w:autoSpaceDE w:val="0"/>
        <w:autoSpaceDN w:val="0"/>
        <w:adjustRightInd w:val="0"/>
        <w:spacing w:before="60"/>
        <w:ind w:firstLine="567"/>
        <w:jc w:val="both"/>
      </w:pPr>
      <w:r w:rsidRPr="008234F3">
        <w:rPr>
          <w:b/>
          <w:i/>
        </w:rPr>
        <w:t xml:space="preserve">В нарушение пункта 3 статьи 264.1 БК РФ </w:t>
      </w:r>
      <w:r w:rsidRPr="00EC63AF">
        <w:t>не предоставлена следующая бюджетная отчётность:</w:t>
      </w:r>
    </w:p>
    <w:p w:rsidR="00CE4D84" w:rsidRPr="00BD3F00" w:rsidRDefault="00CE4D84" w:rsidP="00CE4D84">
      <w:pPr>
        <w:autoSpaceDE w:val="0"/>
        <w:autoSpaceDN w:val="0"/>
        <w:adjustRightInd w:val="0"/>
        <w:spacing w:before="20"/>
        <w:ind w:firstLine="567"/>
        <w:jc w:val="both"/>
      </w:pPr>
      <w:r w:rsidRPr="0029403D">
        <w:t>- пояснительн</w:t>
      </w:r>
      <w:r>
        <w:t>ая</w:t>
      </w:r>
      <w:r w:rsidRPr="0029403D">
        <w:t xml:space="preserve"> записк</w:t>
      </w:r>
      <w:r w:rsidR="006F5572">
        <w:t>а.</w:t>
      </w:r>
    </w:p>
    <w:p w:rsidR="00E97542" w:rsidRDefault="00E97542" w:rsidP="00E97542">
      <w:pPr>
        <w:spacing w:before="60"/>
        <w:ind w:firstLine="567"/>
        <w:jc w:val="both"/>
        <w:rPr>
          <w:b/>
          <w:i/>
        </w:rPr>
      </w:pPr>
      <w:r w:rsidRPr="001D0CF9">
        <w:rPr>
          <w:b/>
          <w:i/>
        </w:rPr>
        <w:t>На данн</w:t>
      </w:r>
      <w:r>
        <w:rPr>
          <w:b/>
          <w:i/>
        </w:rPr>
        <w:t>ое нарушение</w:t>
      </w:r>
      <w:r w:rsidRPr="001D0CF9">
        <w:rPr>
          <w:b/>
          <w:i/>
        </w:rPr>
        <w:t xml:space="preserve"> было указано в экспертн</w:t>
      </w:r>
      <w:r w:rsidR="003407EE">
        <w:rPr>
          <w:b/>
          <w:i/>
        </w:rPr>
        <w:t>ых</w:t>
      </w:r>
      <w:r w:rsidRPr="001D0CF9">
        <w:rPr>
          <w:b/>
          <w:i/>
        </w:rPr>
        <w:t xml:space="preserve"> заключени</w:t>
      </w:r>
      <w:r w:rsidR="003407EE">
        <w:rPr>
          <w:b/>
          <w:i/>
        </w:rPr>
        <w:t>ях</w:t>
      </w:r>
      <w:r w:rsidRPr="001D0CF9">
        <w:rPr>
          <w:b/>
          <w:i/>
        </w:rPr>
        <w:t xml:space="preserve"> по результатам внешней проверки годов</w:t>
      </w:r>
      <w:r w:rsidR="003407EE">
        <w:rPr>
          <w:b/>
          <w:i/>
        </w:rPr>
        <w:t>ых</w:t>
      </w:r>
      <w:r w:rsidRPr="001D0CF9">
        <w:rPr>
          <w:b/>
          <w:i/>
        </w:rPr>
        <w:t xml:space="preserve"> отчёт</w:t>
      </w:r>
      <w:r w:rsidR="003407EE">
        <w:rPr>
          <w:b/>
          <w:i/>
        </w:rPr>
        <w:t>ов</w:t>
      </w:r>
      <w:r w:rsidRPr="001D0CF9">
        <w:rPr>
          <w:b/>
          <w:i/>
        </w:rPr>
        <w:t xml:space="preserve"> об исполнении бюджета за </w:t>
      </w:r>
      <w:r w:rsidR="003407EE">
        <w:rPr>
          <w:b/>
          <w:i/>
        </w:rPr>
        <w:t>2013-</w:t>
      </w:r>
      <w:r w:rsidR="0099504D">
        <w:rPr>
          <w:b/>
          <w:i/>
        </w:rPr>
        <w:t>2014</w:t>
      </w:r>
      <w:r w:rsidRPr="001D0CF9">
        <w:rPr>
          <w:b/>
          <w:i/>
        </w:rPr>
        <w:t xml:space="preserve"> год</w:t>
      </w:r>
      <w:r w:rsidR="003407EE">
        <w:rPr>
          <w:b/>
          <w:i/>
        </w:rPr>
        <w:t>ы</w:t>
      </w:r>
      <w:r w:rsidRPr="001D0CF9">
        <w:rPr>
          <w:b/>
          <w:i/>
        </w:rPr>
        <w:t>.</w:t>
      </w:r>
    </w:p>
    <w:p w:rsidR="006628FF" w:rsidRPr="0029403D" w:rsidRDefault="00EA3C30" w:rsidP="00E7329A">
      <w:pPr>
        <w:pStyle w:val="1"/>
      </w:pPr>
      <w:r>
        <w:t>1</w:t>
      </w:r>
      <w:r w:rsidR="0002517C" w:rsidRPr="0029403D">
        <w:t xml:space="preserve">.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0002517C" w:rsidRPr="0029403D">
        <w:t xml:space="preserve">в </w:t>
      </w:r>
      <w:r w:rsidR="0099504D">
        <w:t>2015</w:t>
      </w:r>
      <w:r w:rsidR="0002517C"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E97542">
        <w:t>бюджетные полномочия</w:t>
      </w:r>
      <w:r w:rsidR="00E97542" w:rsidRPr="0029403D">
        <w:t xml:space="preserve"> администрация </w:t>
      </w:r>
      <w:r w:rsidR="00E97542">
        <w:t>Кубан</w:t>
      </w:r>
      <w:r w:rsidR="00E97542" w:rsidRPr="0029403D">
        <w:t>ского сельсовета</w:t>
      </w:r>
      <w:r w:rsidR="00E97542">
        <w:t xml:space="preserve"> исполняет</w:t>
      </w:r>
      <w:r w:rsidR="00E97542" w:rsidRPr="0029403D">
        <w:t xml:space="preserve"> в соответстви</w:t>
      </w:r>
      <w:r w:rsidR="00E97542">
        <w:t>е</w:t>
      </w:r>
      <w:r w:rsidR="00E97542" w:rsidRPr="0029403D">
        <w:t xml:space="preserve"> </w:t>
      </w:r>
      <w:r w:rsidR="00E97542" w:rsidRPr="00704C9D">
        <w:t>стать</w:t>
      </w:r>
      <w:r w:rsidR="00E97542">
        <w:t>е</w:t>
      </w:r>
      <w:r w:rsidR="00E97542" w:rsidRPr="0029403D">
        <w:t xml:space="preserve"> </w:t>
      </w:r>
      <w:r w:rsidR="00C473F5" w:rsidRPr="0029403D">
        <w:t>32 Положения о бюджетном процессе</w:t>
      </w:r>
      <w:r w:rsidR="00C647CB" w:rsidRPr="0029403D">
        <w:t xml:space="preserve">; </w:t>
      </w:r>
      <w:r w:rsidR="007026D6" w:rsidRPr="0029403D">
        <w:t>утверждён перечень</w:t>
      </w:r>
      <w:r w:rsidR="0002517C" w:rsidRPr="0029403D">
        <w:t xml:space="preserve"> получат</w:t>
      </w:r>
      <w:r w:rsidR="0002517C" w:rsidRPr="0029403D">
        <w:t>е</w:t>
      </w:r>
      <w:r w:rsidR="0002517C" w:rsidRPr="0029403D">
        <w:t>лей</w:t>
      </w:r>
      <w:r w:rsidR="007026D6" w:rsidRPr="0029403D">
        <w:t xml:space="preserve"> средств местного бюджета (администрация </w:t>
      </w:r>
      <w:r w:rsidR="00B0167B">
        <w:t>Кубан</w:t>
      </w:r>
      <w:r w:rsidR="007026D6" w:rsidRPr="0029403D">
        <w:t>ского сельсовета</w:t>
      </w:r>
      <w:r w:rsidR="0002517C" w:rsidRPr="0029403D">
        <w:t>,</w:t>
      </w:r>
      <w:r w:rsidR="007026D6" w:rsidRPr="0029403D">
        <w:t xml:space="preserve"> </w:t>
      </w:r>
      <w:r w:rsidR="00EA3C30">
        <w:t>МКУК</w:t>
      </w:r>
      <w:r w:rsidR="003544B4" w:rsidRPr="0029403D">
        <w:t xml:space="preserve"> «</w:t>
      </w:r>
      <w:r w:rsidR="00B0167B">
        <w:t>Кубан</w:t>
      </w:r>
      <w:r w:rsidR="003544B4" w:rsidRPr="0029403D">
        <w:t>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w:t>
      </w:r>
      <w:r w:rsidR="0002517C" w:rsidRPr="0029403D">
        <w:t>н</w:t>
      </w:r>
      <w:r w:rsidR="0002517C" w:rsidRPr="0029403D">
        <w:t>сировании (отсутствие среди получателей коммерческих организаций, учреждений других бюджетов</w:t>
      </w:r>
      <w:r w:rsidR="00007D23" w:rsidRPr="0029403D">
        <w:t>)</w:t>
      </w:r>
      <w:r w:rsidR="0002517C" w:rsidRPr="0029403D">
        <w:t>.</w:t>
      </w:r>
      <w:proofErr w:type="gramEnd"/>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E97542" w:rsidRPr="0029403D" w:rsidRDefault="00E97542" w:rsidP="00E97542">
      <w:pPr>
        <w:pStyle w:val="ConsNormal"/>
        <w:widowControl/>
        <w:tabs>
          <w:tab w:val="left" w:pos="1800"/>
        </w:tabs>
        <w:spacing w:before="60"/>
        <w:ind w:firstLine="567"/>
        <w:jc w:val="both"/>
        <w:rPr>
          <w:i/>
          <w:sz w:val="22"/>
          <w:szCs w:val="22"/>
        </w:rPr>
      </w:pPr>
      <w:r w:rsidRPr="0029403D">
        <w:rPr>
          <w:rFonts w:ascii="Times New Roman" w:hAnsi="Times New Roman"/>
          <w:sz w:val="24"/>
          <w:szCs w:val="24"/>
        </w:rPr>
        <w:lastRenderedPageBreak/>
        <w:t xml:space="preserve">2.3. </w:t>
      </w:r>
      <w:r>
        <w:rPr>
          <w:rFonts w:ascii="Times New Roman" w:hAnsi="Times New Roman"/>
          <w:sz w:val="24"/>
          <w:szCs w:val="24"/>
        </w:rPr>
        <w:t>Закупка</w:t>
      </w:r>
      <w:r w:rsidRPr="0029403D">
        <w:rPr>
          <w:rFonts w:ascii="Times New Roman" w:hAnsi="Times New Roman"/>
          <w:sz w:val="24"/>
          <w:szCs w:val="24"/>
        </w:rPr>
        <w:t xml:space="preserve"> товаров, работ, услуг для муниципальных нужд производится в соотве</w:t>
      </w:r>
      <w:r w:rsidRPr="0029403D">
        <w:rPr>
          <w:rFonts w:ascii="Times New Roman" w:hAnsi="Times New Roman"/>
          <w:sz w:val="24"/>
          <w:szCs w:val="24"/>
        </w:rPr>
        <w:t>т</w:t>
      </w:r>
      <w:r w:rsidRPr="0029403D">
        <w:rPr>
          <w:rFonts w:ascii="Times New Roman" w:hAnsi="Times New Roman"/>
          <w:sz w:val="24"/>
          <w:szCs w:val="24"/>
        </w:rPr>
        <w:t xml:space="preserve">ствие </w:t>
      </w:r>
      <w:r w:rsidRPr="002715B0">
        <w:rPr>
          <w:rFonts w:ascii="Times New Roman" w:hAnsi="Times New Roman"/>
          <w:sz w:val="24"/>
          <w:szCs w:val="24"/>
        </w:rPr>
        <w:t>Федеральн</w:t>
      </w:r>
      <w:r>
        <w:rPr>
          <w:rFonts w:ascii="Times New Roman" w:hAnsi="Times New Roman"/>
          <w:sz w:val="24"/>
          <w:szCs w:val="24"/>
        </w:rPr>
        <w:t>ому</w:t>
      </w:r>
      <w:r w:rsidRPr="002715B0">
        <w:rPr>
          <w:rFonts w:ascii="Times New Roman" w:hAnsi="Times New Roman"/>
          <w:sz w:val="24"/>
          <w:szCs w:val="24"/>
        </w:rPr>
        <w:t xml:space="preserve"> закон</w:t>
      </w:r>
      <w:r>
        <w:rPr>
          <w:rFonts w:ascii="Times New Roman" w:hAnsi="Times New Roman"/>
          <w:sz w:val="24"/>
          <w:szCs w:val="24"/>
        </w:rPr>
        <w:t>у</w:t>
      </w:r>
      <w:r w:rsidRPr="002715B0">
        <w:rPr>
          <w:rFonts w:ascii="Times New Roman" w:hAnsi="Times New Roman"/>
          <w:sz w:val="24"/>
          <w:szCs w:val="24"/>
        </w:rPr>
        <w:t xml:space="preserve">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w:t>
      </w:r>
      <w:r w:rsidR="0099504D">
        <w:rPr>
          <w:rFonts w:ascii="Times New Roman" w:hAnsi="Times New Roman"/>
          <w:sz w:val="24"/>
          <w:szCs w:val="24"/>
        </w:rPr>
        <w:t>2014</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 xml:space="preserve">4-ФЗ «О </w:t>
      </w:r>
      <w:r>
        <w:rPr>
          <w:rFonts w:ascii="Times New Roman" w:hAnsi="Times New Roman"/>
          <w:sz w:val="24"/>
          <w:szCs w:val="24"/>
        </w:rPr>
        <w:t>контрактной системе в сфере закупок</w:t>
      </w:r>
      <w:r w:rsidRPr="002715B0">
        <w:rPr>
          <w:rFonts w:ascii="Times New Roman" w:hAnsi="Times New Roman"/>
          <w:sz w:val="24"/>
          <w:szCs w:val="24"/>
        </w:rPr>
        <w:t xml:space="preserve"> товаров, работ, услуг для </w:t>
      </w:r>
      <w:r>
        <w:rPr>
          <w:rFonts w:ascii="Times New Roman" w:hAnsi="Times New Roman"/>
          <w:sz w:val="24"/>
          <w:szCs w:val="24"/>
        </w:rPr>
        <w:t xml:space="preserve">обеспечения </w:t>
      </w:r>
      <w:r w:rsidRPr="002715B0">
        <w:rPr>
          <w:rFonts w:ascii="Times New Roman" w:hAnsi="Times New Roman"/>
          <w:sz w:val="24"/>
          <w:szCs w:val="24"/>
        </w:rPr>
        <w:t>государственных и муниципальных нужд»</w:t>
      </w:r>
      <w:r>
        <w:rPr>
          <w:rFonts w:ascii="Times New Roman" w:hAnsi="Times New Roman"/>
          <w:sz w:val="24"/>
          <w:szCs w:val="24"/>
        </w:rPr>
        <w:t>.</w:t>
      </w:r>
      <w:r w:rsidRPr="0029403D">
        <w:rPr>
          <w:rFonts w:ascii="Times New Roman" w:hAnsi="Times New Roman"/>
          <w:sz w:val="24"/>
          <w:szCs w:val="24"/>
        </w:rPr>
        <w:t xml:space="preserve"> </w:t>
      </w:r>
    </w:p>
    <w:p w:rsidR="00E97542" w:rsidRPr="005128C4" w:rsidRDefault="00E97542" w:rsidP="005F1651">
      <w:pPr>
        <w:pStyle w:val="ConsNormal"/>
        <w:widowControl/>
        <w:tabs>
          <w:tab w:val="left" w:pos="1800"/>
        </w:tabs>
        <w:spacing w:before="6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w:t>
      </w:r>
      <w:r w:rsidR="0099504D">
        <w:rPr>
          <w:rFonts w:ascii="Times New Roman" w:hAnsi="Times New Roman"/>
          <w:b/>
          <w:i/>
          <w:sz w:val="24"/>
          <w:szCs w:val="24"/>
        </w:rPr>
        <w:t>2014</w:t>
      </w:r>
      <w:r w:rsidRPr="000C129B">
        <w:rPr>
          <w:rFonts w:ascii="Times New Roman" w:hAnsi="Times New Roman"/>
          <w:b/>
          <w:i/>
          <w:sz w:val="24"/>
          <w:szCs w:val="24"/>
        </w:rPr>
        <w:t xml:space="preserve"> № 44-ФЗ:</w:t>
      </w:r>
    </w:p>
    <w:p w:rsidR="00E97542" w:rsidRPr="000C129B" w:rsidRDefault="00E97542" w:rsidP="00E97542">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E97542" w:rsidRPr="000C129B" w:rsidRDefault="00E97542" w:rsidP="00E97542">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E97542" w:rsidRDefault="00E97542" w:rsidP="00E97542">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E97542" w:rsidRDefault="00E97542" w:rsidP="00E97542">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274D9">
        <w:rPr>
          <w:rFonts w:ascii="Times New Roman" w:hAnsi="Times New Roman" w:cs="Times New Roman"/>
          <w:sz w:val="24"/>
          <w:szCs w:val="24"/>
        </w:rPr>
        <w:t>31</w:t>
      </w:r>
      <w:r>
        <w:rPr>
          <w:rFonts w:ascii="Times New Roman" w:hAnsi="Times New Roman" w:cs="Times New Roman"/>
          <w:sz w:val="24"/>
          <w:szCs w:val="24"/>
        </w:rPr>
        <w:t>.</w:t>
      </w:r>
      <w:r w:rsidR="000274D9">
        <w:rPr>
          <w:rFonts w:ascii="Times New Roman" w:hAnsi="Times New Roman" w:cs="Times New Roman"/>
          <w:sz w:val="24"/>
          <w:szCs w:val="24"/>
        </w:rPr>
        <w:t>12</w:t>
      </w:r>
      <w:r>
        <w:rPr>
          <w:rFonts w:ascii="Times New Roman" w:hAnsi="Times New Roman" w:cs="Times New Roman"/>
          <w:sz w:val="24"/>
          <w:szCs w:val="24"/>
        </w:rPr>
        <w:t>.</w:t>
      </w:r>
      <w:r w:rsidR="0099504D">
        <w:rPr>
          <w:rFonts w:ascii="Times New Roman" w:hAnsi="Times New Roman" w:cs="Times New Roman"/>
          <w:sz w:val="24"/>
          <w:szCs w:val="24"/>
        </w:rPr>
        <w:t>2015</w:t>
      </w:r>
      <w:r>
        <w:rPr>
          <w:rFonts w:ascii="Times New Roman" w:hAnsi="Times New Roman" w:cs="Times New Roman"/>
          <w:sz w:val="24"/>
          <w:szCs w:val="24"/>
        </w:rPr>
        <w:t xml:space="preserve"> </w:t>
      </w:r>
      <w:r w:rsidR="000274D9">
        <w:rPr>
          <w:rFonts w:ascii="Times New Roman" w:hAnsi="Times New Roman" w:cs="Times New Roman"/>
          <w:sz w:val="24"/>
          <w:szCs w:val="24"/>
        </w:rPr>
        <w:t>ООО</w:t>
      </w:r>
      <w:r>
        <w:rPr>
          <w:rFonts w:ascii="Times New Roman" w:hAnsi="Times New Roman" w:cs="Times New Roman"/>
          <w:sz w:val="24"/>
          <w:szCs w:val="24"/>
        </w:rPr>
        <w:t xml:space="preserve"> «Новосибирска</w:t>
      </w:r>
      <w:r w:rsidR="000274D9">
        <w:rPr>
          <w:rFonts w:ascii="Times New Roman" w:hAnsi="Times New Roman" w:cs="Times New Roman"/>
          <w:sz w:val="24"/>
          <w:szCs w:val="24"/>
        </w:rPr>
        <w:t>гропромдорстрой</w:t>
      </w:r>
      <w:r>
        <w:rPr>
          <w:rFonts w:ascii="Times New Roman" w:hAnsi="Times New Roman" w:cs="Times New Roman"/>
          <w:sz w:val="24"/>
          <w:szCs w:val="24"/>
        </w:rPr>
        <w:t xml:space="preserve">» – </w:t>
      </w:r>
      <w:r w:rsidR="009F6A40">
        <w:rPr>
          <w:rFonts w:ascii="Times New Roman" w:hAnsi="Times New Roman" w:cs="Times New Roman"/>
          <w:sz w:val="24"/>
          <w:szCs w:val="24"/>
        </w:rPr>
        <w:t xml:space="preserve">   </w:t>
      </w:r>
      <w:r w:rsidR="000274D9" w:rsidRPr="000274D9">
        <w:rPr>
          <w:rFonts w:ascii="Times New Roman" w:hAnsi="Times New Roman" w:cs="Times New Roman"/>
          <w:sz w:val="24"/>
          <w:szCs w:val="24"/>
        </w:rPr>
        <w:t>687</w:t>
      </w:r>
      <w:r w:rsidR="000274D9">
        <w:rPr>
          <w:rFonts w:ascii="Times New Roman" w:hAnsi="Times New Roman" w:cs="Times New Roman"/>
          <w:sz w:val="24"/>
          <w:szCs w:val="24"/>
        </w:rPr>
        <w:t xml:space="preserve"> </w:t>
      </w:r>
      <w:r w:rsidR="000274D9" w:rsidRPr="000274D9">
        <w:rPr>
          <w:rFonts w:ascii="Times New Roman" w:hAnsi="Times New Roman" w:cs="Times New Roman"/>
          <w:sz w:val="24"/>
          <w:szCs w:val="24"/>
        </w:rPr>
        <w:t>932,28</w:t>
      </w:r>
      <w:r w:rsidR="000274D9">
        <w:rPr>
          <w:rFonts w:ascii="Times New Roman" w:hAnsi="Times New Roman" w:cs="Times New Roman"/>
          <w:sz w:val="24"/>
          <w:szCs w:val="24"/>
        </w:rPr>
        <w:t xml:space="preserve"> </w:t>
      </w:r>
      <w:r>
        <w:rPr>
          <w:rFonts w:ascii="Times New Roman" w:hAnsi="Times New Roman" w:cs="Times New Roman"/>
          <w:sz w:val="24"/>
          <w:szCs w:val="24"/>
        </w:rPr>
        <w:t>руб.;</w:t>
      </w:r>
    </w:p>
    <w:p w:rsidR="000274D9" w:rsidRDefault="000274D9" w:rsidP="000274D9">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xml:space="preserve">- 31.12.2015 ООО «Новосибирскагропромдорстрой» – </w:t>
      </w:r>
      <w:r w:rsidR="009F6A40" w:rsidRPr="009F6A40">
        <w:rPr>
          <w:rFonts w:ascii="Times New Roman" w:hAnsi="Times New Roman" w:cs="Times New Roman"/>
          <w:sz w:val="24"/>
          <w:szCs w:val="24"/>
        </w:rPr>
        <w:t>1</w:t>
      </w:r>
      <w:r w:rsidR="009F6A40">
        <w:rPr>
          <w:rFonts w:ascii="Times New Roman" w:hAnsi="Times New Roman" w:cs="Times New Roman"/>
          <w:sz w:val="24"/>
          <w:szCs w:val="24"/>
        </w:rPr>
        <w:t> </w:t>
      </w:r>
      <w:r w:rsidR="009F6A40" w:rsidRPr="009F6A40">
        <w:rPr>
          <w:rFonts w:ascii="Times New Roman" w:hAnsi="Times New Roman" w:cs="Times New Roman"/>
          <w:sz w:val="24"/>
          <w:szCs w:val="24"/>
        </w:rPr>
        <w:t>717</w:t>
      </w:r>
      <w:r w:rsidR="009F6A40">
        <w:rPr>
          <w:rFonts w:ascii="Times New Roman" w:hAnsi="Times New Roman" w:cs="Times New Roman"/>
          <w:sz w:val="24"/>
          <w:szCs w:val="24"/>
        </w:rPr>
        <w:t xml:space="preserve"> </w:t>
      </w:r>
      <w:r w:rsidR="009F6A40" w:rsidRPr="009F6A40">
        <w:rPr>
          <w:rFonts w:ascii="Times New Roman" w:hAnsi="Times New Roman" w:cs="Times New Roman"/>
          <w:sz w:val="24"/>
          <w:szCs w:val="24"/>
        </w:rPr>
        <w:t>974,72</w:t>
      </w:r>
      <w:r w:rsidR="009F6A40">
        <w:rPr>
          <w:rFonts w:ascii="Times New Roman" w:hAnsi="Times New Roman" w:cs="Times New Roman"/>
          <w:sz w:val="24"/>
          <w:szCs w:val="24"/>
        </w:rPr>
        <w:t xml:space="preserve"> </w:t>
      </w:r>
      <w:r>
        <w:rPr>
          <w:rFonts w:ascii="Times New Roman" w:hAnsi="Times New Roman" w:cs="Times New Roman"/>
          <w:sz w:val="24"/>
          <w:szCs w:val="24"/>
        </w:rPr>
        <w:t>руб.;</w:t>
      </w:r>
    </w:p>
    <w:p w:rsidR="009F6A40" w:rsidRDefault="009F6A40" w:rsidP="009F6A40">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xml:space="preserve">- 31.12.2015 ООО «КапиталСтрой» </w:t>
      </w:r>
      <w:r w:rsidR="00C11E70">
        <w:rPr>
          <w:rFonts w:ascii="Times New Roman" w:hAnsi="Times New Roman" w:cs="Times New Roman"/>
          <w:sz w:val="24"/>
          <w:szCs w:val="24"/>
        </w:rPr>
        <w:tab/>
      </w:r>
      <w:r w:rsidR="00C11E70">
        <w:rPr>
          <w:rFonts w:ascii="Times New Roman" w:hAnsi="Times New Roman" w:cs="Times New Roman"/>
          <w:sz w:val="24"/>
          <w:szCs w:val="24"/>
        </w:rPr>
        <w:tab/>
      </w:r>
      <w:r w:rsidR="00C11E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11E70" w:rsidRPr="00C11E70">
        <w:rPr>
          <w:rFonts w:ascii="Times New Roman" w:hAnsi="Times New Roman" w:cs="Times New Roman"/>
          <w:sz w:val="24"/>
          <w:szCs w:val="24"/>
        </w:rPr>
        <w:t>695</w:t>
      </w:r>
      <w:r w:rsidR="00C11E70">
        <w:rPr>
          <w:rFonts w:ascii="Times New Roman" w:hAnsi="Times New Roman" w:cs="Times New Roman"/>
          <w:sz w:val="24"/>
          <w:szCs w:val="24"/>
        </w:rPr>
        <w:t xml:space="preserve"> </w:t>
      </w:r>
      <w:r w:rsidR="00C11E70" w:rsidRPr="00C11E70">
        <w:rPr>
          <w:rFonts w:ascii="Times New Roman" w:hAnsi="Times New Roman" w:cs="Times New Roman"/>
          <w:sz w:val="24"/>
          <w:szCs w:val="24"/>
        </w:rPr>
        <w:t>269,07</w:t>
      </w:r>
      <w:r w:rsidR="00C11E70">
        <w:rPr>
          <w:rFonts w:ascii="Times New Roman" w:hAnsi="Times New Roman" w:cs="Times New Roman"/>
          <w:sz w:val="24"/>
          <w:szCs w:val="24"/>
        </w:rPr>
        <w:t xml:space="preserve"> </w:t>
      </w:r>
      <w:r>
        <w:rPr>
          <w:rFonts w:ascii="Times New Roman" w:hAnsi="Times New Roman" w:cs="Times New Roman"/>
          <w:sz w:val="24"/>
          <w:szCs w:val="24"/>
        </w:rPr>
        <w:t>руб.;</w:t>
      </w:r>
    </w:p>
    <w:p w:rsidR="00E97542" w:rsidRPr="002A4D59" w:rsidRDefault="00295ED7" w:rsidP="00295ED7">
      <w:pPr>
        <w:pStyle w:val="ConsPlusNormal"/>
        <w:spacing w:before="60"/>
        <w:ind w:left="4952" w:firstLine="11"/>
        <w:jc w:val="both"/>
        <w:rPr>
          <w:rFonts w:ascii="Times New Roman" w:hAnsi="Times New Roman" w:cs="Times New Roman"/>
          <w:i/>
          <w:sz w:val="24"/>
          <w:szCs w:val="24"/>
          <w:u w:val="single"/>
        </w:rPr>
      </w:pPr>
      <w:r w:rsidRPr="00295ED7">
        <w:rPr>
          <w:rFonts w:ascii="Times New Roman" w:hAnsi="Times New Roman" w:cs="Times New Roman"/>
          <w:i/>
          <w:sz w:val="24"/>
          <w:szCs w:val="24"/>
        </w:rPr>
        <w:t xml:space="preserve">     </w:t>
      </w:r>
      <w:r w:rsidR="00E97542" w:rsidRPr="002A4D59">
        <w:rPr>
          <w:rFonts w:ascii="Times New Roman" w:hAnsi="Times New Roman" w:cs="Times New Roman"/>
          <w:i/>
          <w:sz w:val="24"/>
          <w:szCs w:val="24"/>
          <w:u w:val="single"/>
        </w:rPr>
        <w:t xml:space="preserve">ИТОГО: </w:t>
      </w:r>
      <w:r w:rsidRPr="00295ED7">
        <w:rPr>
          <w:rFonts w:ascii="Times New Roman" w:hAnsi="Times New Roman" w:cs="Times New Roman"/>
          <w:i/>
          <w:sz w:val="24"/>
          <w:szCs w:val="24"/>
          <w:u w:val="single"/>
        </w:rPr>
        <w:t>3</w:t>
      </w:r>
      <w:r>
        <w:rPr>
          <w:rFonts w:ascii="Times New Roman" w:hAnsi="Times New Roman" w:cs="Times New Roman"/>
          <w:i/>
          <w:sz w:val="24"/>
          <w:szCs w:val="24"/>
          <w:u w:val="single"/>
        </w:rPr>
        <w:t> </w:t>
      </w:r>
      <w:r w:rsidRPr="00295ED7">
        <w:rPr>
          <w:rFonts w:ascii="Times New Roman" w:hAnsi="Times New Roman" w:cs="Times New Roman"/>
          <w:i/>
          <w:sz w:val="24"/>
          <w:szCs w:val="24"/>
          <w:u w:val="single"/>
        </w:rPr>
        <w:t>101</w:t>
      </w:r>
      <w:r>
        <w:rPr>
          <w:rFonts w:ascii="Times New Roman" w:hAnsi="Times New Roman" w:cs="Times New Roman"/>
          <w:i/>
          <w:sz w:val="24"/>
          <w:szCs w:val="24"/>
          <w:u w:val="single"/>
        </w:rPr>
        <w:t xml:space="preserve"> </w:t>
      </w:r>
      <w:r w:rsidRPr="00295ED7">
        <w:rPr>
          <w:rFonts w:ascii="Times New Roman" w:hAnsi="Times New Roman" w:cs="Times New Roman"/>
          <w:i/>
          <w:sz w:val="24"/>
          <w:szCs w:val="24"/>
          <w:u w:val="single"/>
        </w:rPr>
        <w:t>176,07</w:t>
      </w:r>
      <w:r>
        <w:rPr>
          <w:rFonts w:ascii="Times New Roman" w:hAnsi="Times New Roman" w:cs="Times New Roman"/>
          <w:i/>
          <w:sz w:val="24"/>
          <w:szCs w:val="24"/>
          <w:u w:val="single"/>
        </w:rPr>
        <w:t xml:space="preserve"> </w:t>
      </w:r>
      <w:r w:rsidR="00E97542" w:rsidRPr="002A4D59">
        <w:rPr>
          <w:rFonts w:ascii="Times New Roman" w:hAnsi="Times New Roman" w:cs="Times New Roman"/>
          <w:i/>
          <w:sz w:val="24"/>
          <w:szCs w:val="24"/>
          <w:u w:val="single"/>
        </w:rPr>
        <w:t>руб.</w:t>
      </w:r>
    </w:p>
    <w:p w:rsidR="000E3ECB" w:rsidRPr="00C0339C" w:rsidRDefault="000E3ECB" w:rsidP="000E3ECB">
      <w:pPr>
        <w:spacing w:before="60"/>
        <w:ind w:firstLine="567"/>
        <w:jc w:val="both"/>
        <w:rPr>
          <w:spacing w:val="-2"/>
        </w:rPr>
      </w:pPr>
      <w:r w:rsidRPr="00C0339C">
        <w:rPr>
          <w:b/>
          <w:i/>
          <w:spacing w:val="-2"/>
        </w:rPr>
        <w:t xml:space="preserve">На </w:t>
      </w:r>
      <w:r>
        <w:rPr>
          <w:b/>
          <w:i/>
          <w:spacing w:val="-2"/>
        </w:rPr>
        <w:t xml:space="preserve">данное </w:t>
      </w:r>
      <w:r w:rsidRPr="00C0339C">
        <w:rPr>
          <w:b/>
          <w:i/>
          <w:spacing w:val="-2"/>
        </w:rPr>
        <w:t>нарушение было указано в экспертных заключениях по результатам внешней проверки годовых отчётов об исполнении бюджета за 2013-2014 годы.</w:t>
      </w:r>
    </w:p>
    <w:p w:rsidR="009536C1" w:rsidRPr="00A163C1" w:rsidRDefault="009536C1" w:rsidP="00D27A12">
      <w:pPr>
        <w:pStyle w:val="ConsPlusNormal"/>
        <w:spacing w:before="60"/>
        <w:ind w:firstLine="539"/>
        <w:jc w:val="both"/>
        <w:rPr>
          <w:rFonts w:ascii="Times New Roman" w:hAnsi="Times New Roman" w:cs="Times New Roman"/>
          <w:b/>
          <w:i/>
          <w:sz w:val="24"/>
          <w:szCs w:val="24"/>
        </w:rPr>
      </w:pPr>
      <w:r w:rsidRPr="0029403D">
        <w:rPr>
          <w:rFonts w:ascii="Times New Roman" w:hAnsi="Times New Roman" w:cs="Times New Roman"/>
          <w:sz w:val="24"/>
          <w:szCs w:val="24"/>
        </w:rPr>
        <w:t xml:space="preserve">В реестре закупок </w:t>
      </w:r>
      <w:r w:rsidR="00134DC5">
        <w:rPr>
          <w:rFonts w:ascii="Times New Roman" w:hAnsi="Times New Roman" w:cs="Times New Roman"/>
          <w:sz w:val="24"/>
          <w:szCs w:val="24"/>
        </w:rPr>
        <w:t>отсу</w:t>
      </w:r>
      <w:r w:rsidRPr="0029403D">
        <w:rPr>
          <w:rFonts w:ascii="Times New Roman" w:hAnsi="Times New Roman" w:cs="Times New Roman"/>
          <w:sz w:val="24"/>
          <w:szCs w:val="24"/>
        </w:rPr>
        <w:t>тствует краткое наименование закупаемых товаров, работ и услуг</w:t>
      </w:r>
      <w:r w:rsidR="00E97542">
        <w:rPr>
          <w:rFonts w:ascii="Times New Roman" w:hAnsi="Times New Roman" w:cs="Times New Roman"/>
          <w:sz w:val="24"/>
          <w:szCs w:val="24"/>
        </w:rPr>
        <w:t xml:space="preserve">, </w:t>
      </w:r>
      <w:r w:rsidR="00E97542" w:rsidRPr="0029403D">
        <w:rPr>
          <w:rFonts w:ascii="Times New Roman" w:hAnsi="Times New Roman" w:cs="Times New Roman"/>
          <w:sz w:val="24"/>
          <w:szCs w:val="24"/>
        </w:rPr>
        <w:t>отсутствует местонахождение поставщиков, подрядчиков и исполнителей услуг.</w:t>
      </w:r>
      <w:r w:rsidRPr="0029403D">
        <w:rPr>
          <w:rFonts w:ascii="Times New Roman" w:hAnsi="Times New Roman" w:cs="Times New Roman"/>
          <w:sz w:val="24"/>
          <w:szCs w:val="24"/>
        </w:rPr>
        <w:t xml:space="preserve"> </w:t>
      </w:r>
      <w:r w:rsidRPr="00A163C1">
        <w:rPr>
          <w:rFonts w:ascii="Times New Roman" w:hAnsi="Times New Roman" w:cs="Times New Roman"/>
          <w:b/>
          <w:i/>
          <w:sz w:val="24"/>
          <w:szCs w:val="24"/>
        </w:rPr>
        <w:t>Тем самым нарушен пункт 2 статьи 73 БК РФ:</w:t>
      </w:r>
    </w:p>
    <w:p w:rsidR="009536C1" w:rsidRPr="007B2041" w:rsidRDefault="009536C1" w:rsidP="00A0249D">
      <w:pPr>
        <w:pStyle w:val="ConsPlusNormal"/>
        <w:spacing w:before="40"/>
        <w:ind w:firstLine="567"/>
        <w:jc w:val="both"/>
        <w:rPr>
          <w:rFonts w:ascii="Times New Roman" w:hAnsi="Times New Roman" w:cs="Times New Roman"/>
          <w:i/>
        </w:rPr>
      </w:pPr>
      <w:r w:rsidRPr="007B2041">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9536C1" w:rsidRPr="007B2041" w:rsidRDefault="009536C1" w:rsidP="009536C1">
      <w:pPr>
        <w:pStyle w:val="ConsPlusNormal"/>
        <w:ind w:firstLine="567"/>
        <w:jc w:val="both"/>
        <w:rPr>
          <w:rFonts w:ascii="Times New Roman" w:hAnsi="Times New Roman" w:cs="Times New Roman"/>
          <w:i/>
        </w:rPr>
      </w:pPr>
      <w:r w:rsidRPr="007B2041">
        <w:rPr>
          <w:rFonts w:ascii="Times New Roman" w:hAnsi="Times New Roman" w:cs="Times New Roman"/>
          <w:i/>
        </w:rPr>
        <w:t>краткое наименование закупаемых товаров, работ и услуг;</w:t>
      </w:r>
    </w:p>
    <w:p w:rsidR="009536C1" w:rsidRPr="007B2041" w:rsidRDefault="009536C1" w:rsidP="009536C1">
      <w:pPr>
        <w:pStyle w:val="ConsPlusNormal"/>
        <w:ind w:firstLine="567"/>
        <w:jc w:val="both"/>
        <w:rPr>
          <w:rFonts w:ascii="Times New Roman" w:hAnsi="Times New Roman" w:cs="Times New Roman"/>
          <w:i/>
        </w:rPr>
      </w:pPr>
      <w:r w:rsidRPr="007B2041">
        <w:rPr>
          <w:rFonts w:ascii="Times New Roman" w:hAnsi="Times New Roman" w:cs="Times New Roman"/>
          <w:i/>
        </w:rPr>
        <w:t>наименование и местонахождение поставщиков, подрядчиков и исполнителей услуг;</w:t>
      </w:r>
    </w:p>
    <w:p w:rsidR="002B068C" w:rsidRPr="007B2041" w:rsidRDefault="009536C1" w:rsidP="009536C1">
      <w:pPr>
        <w:pStyle w:val="ConsPlusNormal"/>
        <w:ind w:firstLine="567"/>
        <w:jc w:val="both"/>
        <w:rPr>
          <w:rFonts w:ascii="Times New Roman" w:hAnsi="Times New Roman" w:cs="Times New Roman"/>
          <w:i/>
        </w:rPr>
      </w:pPr>
      <w:r w:rsidRPr="007B2041">
        <w:rPr>
          <w:rFonts w:ascii="Times New Roman" w:hAnsi="Times New Roman" w:cs="Times New Roman"/>
          <w:i/>
        </w:rPr>
        <w:t>цена и дата закупки».</w:t>
      </w:r>
    </w:p>
    <w:p w:rsidR="00E20B09" w:rsidRPr="00C0339C" w:rsidRDefault="00E20B09" w:rsidP="00E20B09">
      <w:pPr>
        <w:spacing w:before="60"/>
        <w:ind w:firstLine="567"/>
        <w:jc w:val="both"/>
        <w:rPr>
          <w:spacing w:val="-2"/>
        </w:rPr>
      </w:pPr>
      <w:r w:rsidRPr="00C0339C">
        <w:rPr>
          <w:b/>
          <w:i/>
          <w:spacing w:val="-2"/>
        </w:rPr>
        <w:t xml:space="preserve">На нарушение статьи 73 БК РФ было указано </w:t>
      </w:r>
      <w:r w:rsidR="00C0339C" w:rsidRPr="00C0339C">
        <w:rPr>
          <w:b/>
          <w:i/>
          <w:spacing w:val="-2"/>
        </w:rPr>
        <w:t>в экспертных заключениях по резул</w:t>
      </w:r>
      <w:r w:rsidR="00C0339C" w:rsidRPr="00C0339C">
        <w:rPr>
          <w:b/>
          <w:i/>
          <w:spacing w:val="-2"/>
        </w:rPr>
        <w:t>ь</w:t>
      </w:r>
      <w:r w:rsidR="00C0339C" w:rsidRPr="00C0339C">
        <w:rPr>
          <w:b/>
          <w:i/>
          <w:spacing w:val="-2"/>
        </w:rPr>
        <w:t>татам внешней проверки годовых отчётов об исполнении бюджета за 2013-2014 годы</w:t>
      </w:r>
      <w:r w:rsidRPr="00C0339C">
        <w:rPr>
          <w:b/>
          <w:i/>
          <w:spacing w:val="-2"/>
        </w:rPr>
        <w:t>.</w:t>
      </w:r>
    </w:p>
    <w:p w:rsidR="00542603" w:rsidRPr="0029403D" w:rsidRDefault="00542603" w:rsidP="00542603">
      <w:pPr>
        <w:spacing w:before="60"/>
        <w:ind w:firstLine="567"/>
        <w:jc w:val="both"/>
      </w:pPr>
      <w:r w:rsidRPr="00196B6D">
        <w:t>2.</w:t>
      </w:r>
      <w:r w:rsidR="00E97542">
        <w:t>4</w:t>
      </w:r>
      <w:r w:rsidRPr="00196B6D">
        <w:t xml:space="preserve">. </w:t>
      </w:r>
      <w:r w:rsidRPr="0029403D">
        <w:t>Проанализировано общее соответствие бюджетной отчетности требованиям, предъявляемым Инструкцией, утвержденной Приказом Минфина РФ № 191н от 28.12.</w:t>
      </w:r>
      <w:r w:rsidR="007B2041">
        <w:t>201</w:t>
      </w:r>
      <w:r w:rsidR="001B37EE">
        <w:t>0</w:t>
      </w:r>
      <w:r w:rsidRPr="0029403D">
        <w:t>, отсутствуют следующие обязательные формы:</w:t>
      </w:r>
    </w:p>
    <w:p w:rsidR="00542603" w:rsidRDefault="00542603" w:rsidP="00542603">
      <w:pPr>
        <w:autoSpaceDE w:val="0"/>
        <w:autoSpaceDN w:val="0"/>
        <w:adjustRightInd w:val="0"/>
        <w:ind w:firstLine="567"/>
        <w:jc w:val="both"/>
      </w:pPr>
      <w:r w:rsidRPr="0029403D">
        <w:t>- пояснительная записка (ф. 0503160)</w:t>
      </w:r>
      <w:r>
        <w:t xml:space="preserve"> – текст</w:t>
      </w:r>
      <w:r w:rsidR="00FD7E35">
        <w:t>овая часть и таблиц</w:t>
      </w:r>
      <w:r w:rsidR="00E86EA0">
        <w:t>а № 2 «</w:t>
      </w:r>
      <w:r w:rsidR="00E86EA0" w:rsidRPr="00E86EA0">
        <w:t>Сведения о м</w:t>
      </w:r>
      <w:r w:rsidR="00E86EA0" w:rsidRPr="00E86EA0">
        <w:t>е</w:t>
      </w:r>
      <w:r w:rsidR="00E86EA0" w:rsidRPr="00E86EA0">
        <w:t>рах по повышению эффективности расходования бюджетных средств</w:t>
      </w:r>
      <w:r w:rsidR="00E86EA0">
        <w:t>».</w:t>
      </w:r>
    </w:p>
    <w:p w:rsidR="00E86EA0" w:rsidRPr="00A31D49" w:rsidRDefault="00A31D49" w:rsidP="007B79FB">
      <w:pPr>
        <w:spacing w:before="40"/>
        <w:ind w:firstLine="567"/>
        <w:jc w:val="both"/>
      </w:pPr>
      <w:r w:rsidRPr="00A31D49">
        <w:t>В таблице № 7 «Сведения о результатах внешних контрольных мероприятий</w:t>
      </w:r>
      <w:r>
        <w:t>» к поя</w:t>
      </w:r>
      <w:r>
        <w:t>с</w:t>
      </w:r>
      <w:r>
        <w:t xml:space="preserve">нительной записке </w:t>
      </w:r>
      <w:r w:rsidRPr="0029403D">
        <w:t>(ф. 0503160)</w:t>
      </w:r>
      <w:r w:rsidR="0085149C">
        <w:t xml:space="preserve"> отсутствуют данные об экспертизе проекта решения о бю</w:t>
      </w:r>
      <w:r w:rsidR="0085149C">
        <w:t>д</w:t>
      </w:r>
      <w:r w:rsidR="0085149C">
        <w:t>жете Кубанского сельсовета на 2016 год.</w:t>
      </w:r>
    </w:p>
    <w:p w:rsidR="005F1651" w:rsidRPr="007B79FB" w:rsidRDefault="00E86EA0" w:rsidP="007B79FB">
      <w:pPr>
        <w:spacing w:before="40"/>
        <w:ind w:firstLine="567"/>
        <w:jc w:val="both"/>
        <w:rPr>
          <w:b/>
          <w:i/>
        </w:rPr>
      </w:pPr>
      <w:r>
        <w:t>В</w:t>
      </w:r>
      <w:r w:rsidR="00AB3172" w:rsidRPr="007B79FB">
        <w:t xml:space="preserve"> </w:t>
      </w:r>
      <w:r w:rsidR="00FD7E35" w:rsidRPr="007B79FB">
        <w:t>форме 0503164 «Сведения об исполнении бюджета</w:t>
      </w:r>
      <w:r w:rsidR="00AB3172" w:rsidRPr="007B79FB">
        <w:t>» не указаны причины отклонений</w:t>
      </w:r>
      <w:r w:rsidR="007B79FB" w:rsidRPr="007B79FB">
        <w:t xml:space="preserve"> (</w:t>
      </w:r>
      <w:r w:rsidR="007B79FB" w:rsidRPr="007B79FB">
        <w:rPr>
          <w:b/>
          <w:i/>
        </w:rPr>
        <w:t>на данный факт было указано в экспертном заключении по результатам внешней пр</w:t>
      </w:r>
      <w:r w:rsidR="007B79FB" w:rsidRPr="007B79FB">
        <w:rPr>
          <w:b/>
          <w:i/>
        </w:rPr>
        <w:t>о</w:t>
      </w:r>
      <w:r w:rsidR="007B79FB" w:rsidRPr="007B79FB">
        <w:rPr>
          <w:b/>
          <w:i/>
        </w:rPr>
        <w:t>верки годового отчёта об исполнении бюджета за 2014 год</w:t>
      </w:r>
      <w:r w:rsidR="007B79FB" w:rsidRPr="007B79FB">
        <w:t>).</w:t>
      </w:r>
    </w:p>
    <w:p w:rsidR="00E20B09" w:rsidRPr="00676100" w:rsidRDefault="00E20B09" w:rsidP="00E20B09">
      <w:pPr>
        <w:pStyle w:val="a4"/>
        <w:spacing w:before="40" w:after="0"/>
        <w:ind w:firstLine="567"/>
        <w:jc w:val="both"/>
        <w:rPr>
          <w:color w:val="000000"/>
          <w:spacing w:val="-2"/>
        </w:rPr>
      </w:pPr>
      <w:r w:rsidRPr="00676100">
        <w:rPr>
          <w:spacing w:val="-2"/>
        </w:rPr>
        <w:t>2.5. Из формы 0503169 «Сведения о дебиторской и кредиторской задолженности» след</w:t>
      </w:r>
      <w:r w:rsidRPr="00676100">
        <w:rPr>
          <w:spacing w:val="-2"/>
        </w:rPr>
        <w:t>у</w:t>
      </w:r>
      <w:r w:rsidRPr="00676100">
        <w:rPr>
          <w:spacing w:val="-2"/>
        </w:rPr>
        <w:t>ет, что дебиторская задолженность на 01.01.</w:t>
      </w:r>
      <w:r w:rsidR="0099504D">
        <w:rPr>
          <w:spacing w:val="-2"/>
        </w:rPr>
        <w:t>2016</w:t>
      </w:r>
      <w:r w:rsidRPr="00676100">
        <w:rPr>
          <w:spacing w:val="-2"/>
        </w:rPr>
        <w:t xml:space="preserve"> составляет </w:t>
      </w:r>
      <w:r w:rsidR="00271FC9">
        <w:rPr>
          <w:spacing w:val="-2"/>
        </w:rPr>
        <w:t>31026,68</w:t>
      </w:r>
      <w:r w:rsidRPr="00676100">
        <w:rPr>
          <w:spacing w:val="-2"/>
        </w:rPr>
        <w:t xml:space="preserve"> руб. Данные  формы 0503169 соответствуют данным формы 0503120 «Баланс исполнения бюджета». </w:t>
      </w:r>
      <w:r w:rsidR="00A971CF" w:rsidRPr="00C20A7B">
        <w:t xml:space="preserve">Объём </w:t>
      </w:r>
      <w:r w:rsidR="00A971CF" w:rsidRPr="00676100">
        <w:rPr>
          <w:spacing w:val="-2"/>
        </w:rPr>
        <w:t>деб</w:t>
      </w:r>
      <w:r w:rsidR="00A971CF" w:rsidRPr="00676100">
        <w:rPr>
          <w:spacing w:val="-2"/>
        </w:rPr>
        <w:t>и</w:t>
      </w:r>
      <w:r w:rsidR="00A971CF" w:rsidRPr="00676100">
        <w:rPr>
          <w:spacing w:val="-2"/>
        </w:rPr>
        <w:t xml:space="preserve">торской </w:t>
      </w:r>
      <w:r w:rsidR="00A971CF" w:rsidRPr="00C20A7B">
        <w:t xml:space="preserve">задолженности </w:t>
      </w:r>
      <w:r w:rsidR="00A971CF" w:rsidRPr="00192DD7">
        <w:t xml:space="preserve">по сравнению с </w:t>
      </w:r>
      <w:r w:rsidR="0099504D">
        <w:t>2015</w:t>
      </w:r>
      <w:r w:rsidR="00A971CF" w:rsidRPr="00192DD7">
        <w:t xml:space="preserve"> годом увеличился на </w:t>
      </w:r>
      <w:r w:rsidR="00271FC9">
        <w:t>4029,09</w:t>
      </w:r>
      <w:r w:rsidR="00A971CF" w:rsidRPr="00192DD7">
        <w:t xml:space="preserve"> руб. или </w:t>
      </w:r>
      <w:r w:rsidR="00A971CF">
        <w:t xml:space="preserve">на </w:t>
      </w:r>
      <w:r w:rsidR="00271FC9">
        <w:t>14,9</w:t>
      </w:r>
      <w:r w:rsidR="00A971CF">
        <w:t xml:space="preserve">%. </w:t>
      </w:r>
      <w:r w:rsidRPr="00676100">
        <w:rPr>
          <w:color w:val="000000"/>
          <w:spacing w:val="-2"/>
        </w:rPr>
        <w:t xml:space="preserve">Ревизионная комиссия отмечает, что задолженность по счету </w:t>
      </w:r>
      <w:r w:rsidRPr="00E20B09">
        <w:rPr>
          <w:color w:val="000000"/>
          <w:spacing w:val="-2"/>
        </w:rPr>
        <w:t>29608018810801242020621000</w:t>
      </w:r>
      <w:r>
        <w:rPr>
          <w:color w:val="000000"/>
          <w:spacing w:val="-2"/>
        </w:rPr>
        <w:t xml:space="preserve"> </w:t>
      </w:r>
      <w:r w:rsidRPr="00676100">
        <w:rPr>
          <w:color w:val="000000"/>
          <w:spacing w:val="-2"/>
        </w:rPr>
        <w:t xml:space="preserve">в сумме </w:t>
      </w:r>
      <w:r>
        <w:rPr>
          <w:color w:val="000000"/>
          <w:spacing w:val="-2"/>
        </w:rPr>
        <w:t>4,72</w:t>
      </w:r>
      <w:r w:rsidRPr="00676100">
        <w:rPr>
          <w:color w:val="000000"/>
          <w:spacing w:val="-2"/>
        </w:rPr>
        <w:t xml:space="preserve"> руб. </w:t>
      </w:r>
      <w:r>
        <w:rPr>
          <w:color w:val="000000"/>
          <w:spacing w:val="-2"/>
        </w:rPr>
        <w:t>имеется</w:t>
      </w:r>
      <w:r w:rsidRPr="00676100">
        <w:rPr>
          <w:color w:val="000000"/>
          <w:spacing w:val="-2"/>
        </w:rPr>
        <w:t xml:space="preserve"> по состоянию на начало </w:t>
      </w:r>
      <w:r w:rsidR="00E56FFB">
        <w:rPr>
          <w:color w:val="000000"/>
          <w:spacing w:val="-2"/>
        </w:rPr>
        <w:t xml:space="preserve">2014 года </w:t>
      </w:r>
      <w:r w:rsidRPr="00676100">
        <w:rPr>
          <w:color w:val="000000"/>
          <w:spacing w:val="-2"/>
        </w:rPr>
        <w:t xml:space="preserve">и конец </w:t>
      </w:r>
      <w:r w:rsidR="0099504D">
        <w:rPr>
          <w:color w:val="000000"/>
          <w:spacing w:val="-2"/>
        </w:rPr>
        <w:t>2015</w:t>
      </w:r>
      <w:r w:rsidRPr="00676100">
        <w:rPr>
          <w:color w:val="000000"/>
          <w:spacing w:val="-2"/>
        </w:rPr>
        <w:t xml:space="preserve"> года.  </w:t>
      </w:r>
      <w:r w:rsidR="00E56FFB">
        <w:rPr>
          <w:i/>
          <w:color w:val="000000"/>
          <w:spacing w:val="-2"/>
        </w:rPr>
        <w:t>На д</w:t>
      </w:r>
      <w:r w:rsidRPr="00676100">
        <w:rPr>
          <w:i/>
          <w:color w:val="000000"/>
          <w:spacing w:val="-2"/>
        </w:rPr>
        <w:t xml:space="preserve">анный факт </w:t>
      </w:r>
      <w:r w:rsidR="00E56FFB">
        <w:rPr>
          <w:i/>
          <w:color w:val="000000"/>
          <w:spacing w:val="-2"/>
        </w:rPr>
        <w:t>было указано в экспертном заключении по результатам внешней проверки годового о</w:t>
      </w:r>
      <w:r w:rsidR="00E56FFB">
        <w:rPr>
          <w:i/>
          <w:color w:val="000000"/>
          <w:spacing w:val="-2"/>
        </w:rPr>
        <w:t>т</w:t>
      </w:r>
      <w:r w:rsidR="00E56FFB">
        <w:rPr>
          <w:i/>
          <w:color w:val="000000"/>
          <w:spacing w:val="-2"/>
        </w:rPr>
        <w:t>чёта за 2014 год, однако мер по устранению</w:t>
      </w:r>
      <w:r w:rsidR="000A6B5E">
        <w:rPr>
          <w:i/>
          <w:color w:val="000000"/>
          <w:spacing w:val="-2"/>
        </w:rPr>
        <w:t xml:space="preserve"> замечания не было принято</w:t>
      </w:r>
      <w:r w:rsidRPr="00676100">
        <w:rPr>
          <w:color w:val="000000"/>
          <w:spacing w:val="-2"/>
        </w:rPr>
        <w:t>.</w:t>
      </w:r>
    </w:p>
    <w:p w:rsidR="00192DD7" w:rsidRPr="00A971CF" w:rsidRDefault="007B2041" w:rsidP="00192DD7">
      <w:pPr>
        <w:pStyle w:val="ConsPlusNormal"/>
        <w:spacing w:before="40"/>
        <w:ind w:firstLine="539"/>
        <w:jc w:val="both"/>
        <w:rPr>
          <w:rFonts w:ascii="Times New Roman" w:hAnsi="Times New Roman" w:cs="Times New Roman"/>
          <w:i/>
          <w:spacing w:val="-2"/>
          <w:sz w:val="24"/>
          <w:szCs w:val="24"/>
        </w:rPr>
      </w:pPr>
      <w:r w:rsidRPr="00A971CF">
        <w:rPr>
          <w:rFonts w:ascii="Times New Roman" w:hAnsi="Times New Roman" w:cs="Times New Roman"/>
          <w:sz w:val="24"/>
          <w:szCs w:val="24"/>
        </w:rPr>
        <w:t xml:space="preserve">Из формы 0503169 «Сведения о дебиторской и кредиторской задолженности» следует, что кредиторская задолженность </w:t>
      </w:r>
      <w:r w:rsidR="00A971CF" w:rsidRPr="00A971CF">
        <w:rPr>
          <w:rFonts w:ascii="Times New Roman" w:hAnsi="Times New Roman" w:cs="Times New Roman"/>
          <w:spacing w:val="-2"/>
          <w:sz w:val="24"/>
          <w:szCs w:val="24"/>
        </w:rPr>
        <w:t>на 01.01.</w:t>
      </w:r>
      <w:r w:rsidR="0099504D">
        <w:rPr>
          <w:rFonts w:ascii="Times New Roman" w:hAnsi="Times New Roman" w:cs="Times New Roman"/>
          <w:spacing w:val="-2"/>
          <w:sz w:val="24"/>
          <w:szCs w:val="24"/>
        </w:rPr>
        <w:t>2016</w:t>
      </w:r>
      <w:r w:rsidR="00A971CF" w:rsidRPr="00A971CF">
        <w:rPr>
          <w:rFonts w:ascii="Times New Roman" w:hAnsi="Times New Roman" w:cs="Times New Roman"/>
          <w:spacing w:val="-2"/>
          <w:sz w:val="24"/>
          <w:szCs w:val="24"/>
        </w:rPr>
        <w:t xml:space="preserve"> </w:t>
      </w:r>
      <w:r w:rsidR="00774FFB">
        <w:rPr>
          <w:rFonts w:ascii="Times New Roman" w:hAnsi="Times New Roman" w:cs="Times New Roman"/>
          <w:spacing w:val="-2"/>
          <w:sz w:val="24"/>
          <w:szCs w:val="24"/>
        </w:rPr>
        <w:t>составляет 42407,12 руб.</w:t>
      </w:r>
      <w:r w:rsidRPr="00A971CF">
        <w:rPr>
          <w:rFonts w:ascii="Times New Roman" w:hAnsi="Times New Roman" w:cs="Times New Roman"/>
          <w:sz w:val="24"/>
          <w:szCs w:val="24"/>
        </w:rPr>
        <w:t xml:space="preserve"> Данные  формы 0503169 соответствуют данным формы 0503120 «Баланс исполнения бюджета».</w:t>
      </w:r>
      <w:r w:rsidR="00774FFB">
        <w:rPr>
          <w:rFonts w:ascii="Times New Roman" w:hAnsi="Times New Roman" w:cs="Times New Roman"/>
          <w:sz w:val="24"/>
          <w:szCs w:val="24"/>
        </w:rPr>
        <w:t xml:space="preserve"> По состо</w:t>
      </w:r>
      <w:r w:rsidR="00774FFB">
        <w:rPr>
          <w:rFonts w:ascii="Times New Roman" w:hAnsi="Times New Roman" w:cs="Times New Roman"/>
          <w:sz w:val="24"/>
          <w:szCs w:val="24"/>
        </w:rPr>
        <w:t>я</w:t>
      </w:r>
      <w:r w:rsidR="00774FFB">
        <w:rPr>
          <w:rFonts w:ascii="Times New Roman" w:hAnsi="Times New Roman" w:cs="Times New Roman"/>
          <w:sz w:val="24"/>
          <w:szCs w:val="24"/>
        </w:rPr>
        <w:t>нию на 01.01.2015 кредиторская задолженность отсутствовала.</w:t>
      </w:r>
    </w:p>
    <w:p w:rsidR="009E2890" w:rsidRPr="0029403D" w:rsidRDefault="00271FC9" w:rsidP="00E7329A">
      <w:pPr>
        <w:pStyle w:val="1"/>
      </w:pPr>
      <w:r>
        <w:t>2</w:t>
      </w:r>
      <w:r w:rsidR="009E2890" w:rsidRPr="0029403D">
        <w:t xml:space="preserve">. Анализ долговой политики </w:t>
      </w:r>
      <w:r w:rsidR="00B0167B">
        <w:t>Кубан</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99504D">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99504D">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3B3E81">
        <w:t>10992,4</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3B3E81">
        <w:t>11575,7</w:t>
      </w:r>
      <w:r w:rsidR="00BE2D15" w:rsidRPr="0029403D">
        <w:t xml:space="preserve"> тыс. </w:t>
      </w:r>
      <w:r w:rsidR="00CA485C" w:rsidRPr="0029403D">
        <w:t>руб.</w:t>
      </w:r>
      <w:r w:rsidRPr="0029403D">
        <w:t xml:space="preserve"> </w:t>
      </w:r>
      <w:r w:rsidRPr="0029403D">
        <w:lastRenderedPageBreak/>
        <w:t>Соответственно</w:t>
      </w:r>
      <w:r w:rsidR="00A46E1E" w:rsidRPr="0029403D">
        <w:t>,</w:t>
      </w:r>
      <w:r w:rsidRPr="0029403D">
        <w:t xml:space="preserve"> </w:t>
      </w:r>
      <w:r w:rsidR="003B3E81">
        <w:t>дефицит</w:t>
      </w:r>
      <w:r w:rsidR="00976773">
        <w:t xml:space="preserve"> </w:t>
      </w:r>
      <w:r w:rsidR="00C218BA" w:rsidRPr="0029403D">
        <w:t xml:space="preserve">местного </w:t>
      </w:r>
      <w:r w:rsidRPr="0029403D">
        <w:t xml:space="preserve">бюджета составил </w:t>
      </w:r>
      <w:r w:rsidR="003B3E81">
        <w:t>583,3</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99504D">
        <w:t>2014</w:t>
      </w:r>
      <w:r w:rsidR="002C488D" w:rsidRPr="0029403D">
        <w:t xml:space="preserve"> году местный бюджет был исполнен с </w:t>
      </w:r>
      <w:r w:rsidR="00350957">
        <w:t>профици</w:t>
      </w:r>
      <w:r w:rsidR="002C488D" w:rsidRPr="0029403D">
        <w:t xml:space="preserve">том </w:t>
      </w:r>
      <w:r w:rsidR="003B3E81">
        <w:t>591</w:t>
      </w:r>
      <w:r w:rsidR="000D538E">
        <w:t>,9</w:t>
      </w:r>
      <w:r w:rsidR="000D538E" w:rsidRPr="0029403D">
        <w:t xml:space="preserve"> </w:t>
      </w:r>
      <w:r w:rsidRPr="0029403D">
        <w:t>тыс.</w:t>
      </w:r>
      <w:r w:rsidR="002C488D" w:rsidRPr="0029403D">
        <w:t xml:space="preserve"> </w:t>
      </w:r>
      <w:r w:rsidR="00CA485C" w:rsidRPr="0029403D">
        <w:t>руб.</w:t>
      </w:r>
    </w:p>
    <w:p w:rsidR="004C2F98" w:rsidRPr="00A07DE8" w:rsidRDefault="004C2F98" w:rsidP="004C2F98">
      <w:pPr>
        <w:spacing w:before="60"/>
        <w:ind w:firstLine="567"/>
        <w:jc w:val="both"/>
      </w:pPr>
      <w:r w:rsidRPr="00A07DE8">
        <w:t>Предельный размер дефицита местного бюджета превысил установленный вторым а</w:t>
      </w:r>
      <w:r w:rsidRPr="00A07DE8">
        <w:t>б</w:t>
      </w:r>
      <w:r w:rsidRPr="00A07DE8">
        <w:t xml:space="preserve">зацем пункта 3 статьи 92.1 БК РФ уровень (5%) и составил </w:t>
      </w:r>
      <w:r w:rsidR="00A07DE8">
        <w:t>23,2</w:t>
      </w:r>
      <w:r w:rsidRPr="00A07DE8">
        <w:t xml:space="preserve">% </w:t>
      </w:r>
      <w:r w:rsidRPr="00A07DE8">
        <w:rPr>
          <w:color w:val="000000"/>
        </w:rPr>
        <w:t>утверждённого общего г</w:t>
      </w:r>
      <w:r w:rsidRPr="00A07DE8">
        <w:rPr>
          <w:color w:val="000000"/>
        </w:rPr>
        <w:t>о</w:t>
      </w:r>
      <w:r w:rsidRPr="00A07DE8">
        <w:rPr>
          <w:color w:val="000000"/>
        </w:rPr>
        <w:t>дового объёма доходов бюджета без учёта утверждённого объёма безвозмездных поступл</w:t>
      </w:r>
      <w:r w:rsidRPr="00A07DE8">
        <w:rPr>
          <w:color w:val="000000"/>
        </w:rPr>
        <w:t>е</w:t>
      </w:r>
      <w:r w:rsidRPr="00A07DE8">
        <w:rPr>
          <w:color w:val="000000"/>
        </w:rPr>
        <w:t>ний</w:t>
      </w:r>
      <w:r w:rsidRPr="00A07DE8">
        <w:t>. Но, в соответствие третьему абзацу пункта 3 статьи 92.1 БК РФ это допустимо, так как источником финансирования дефицита бюджета утверждено изменение остатков средств на счетах по учету средств местного бюджета.</w:t>
      </w:r>
    </w:p>
    <w:p w:rsidR="009D0022" w:rsidRPr="00FC6B5C" w:rsidRDefault="009D0022" w:rsidP="008723B0">
      <w:pPr>
        <w:spacing w:before="60"/>
        <w:ind w:firstLine="567"/>
        <w:jc w:val="both"/>
      </w:pPr>
      <w:proofErr w:type="gramStart"/>
      <w:r w:rsidRPr="00F21E1B">
        <w:t xml:space="preserve">Следует отметить, что при планировании местного бюджета на </w:t>
      </w:r>
      <w:r w:rsidR="0099504D">
        <w:t>2015</w:t>
      </w:r>
      <w:r w:rsidRPr="00F21E1B">
        <w:t xml:space="preserve"> год правильно учтены остатки средств на счетах в органе казначейства, а именно, </w:t>
      </w:r>
      <w:r w:rsidR="00B06AD0" w:rsidRPr="00F21E1B">
        <w:t>согласно отчёту формы 05031</w:t>
      </w:r>
      <w:r w:rsidR="007B2041">
        <w:t>5</w:t>
      </w:r>
      <w:r w:rsidR="00B06AD0" w:rsidRPr="00F21E1B">
        <w:t xml:space="preserve">0 «Баланс по </w:t>
      </w:r>
      <w:r w:rsidR="007B2041">
        <w:t>операциям кассового обслуживания исполнения бюджета</w:t>
      </w:r>
      <w:r w:rsidR="00B06AD0" w:rsidRPr="00F21E1B">
        <w:t>»</w:t>
      </w:r>
      <w:r w:rsidRPr="00F21E1B">
        <w:t xml:space="preserve"> остаток средств на 01.01.</w:t>
      </w:r>
      <w:r w:rsidR="0099504D">
        <w:t>2015</w:t>
      </w:r>
      <w:r w:rsidRPr="00F21E1B">
        <w:t xml:space="preserve"> – </w:t>
      </w:r>
      <w:r w:rsidR="00FC6B5C">
        <w:t>1 379 850,97</w:t>
      </w:r>
      <w:r w:rsidRPr="00F21E1B">
        <w:t xml:space="preserve"> руб., фактически в источниках финансирования дефиц</w:t>
      </w:r>
      <w:r w:rsidRPr="00F21E1B">
        <w:t>и</w:t>
      </w:r>
      <w:r w:rsidRPr="00F21E1B">
        <w:t xml:space="preserve">та бюджета запланировано </w:t>
      </w:r>
      <w:r w:rsidR="00FC6B5C">
        <w:t>1 379 850,97</w:t>
      </w:r>
      <w:r w:rsidR="00FC6B5C" w:rsidRPr="00F21E1B">
        <w:t xml:space="preserve"> </w:t>
      </w:r>
      <w:r w:rsidRPr="00F21E1B">
        <w:t xml:space="preserve">руб. </w:t>
      </w:r>
      <w:r w:rsidRPr="00FC6B5C">
        <w:t>Несоответств</w:t>
      </w:r>
      <w:r w:rsidR="000D4EB4" w:rsidRPr="00FC6B5C">
        <w:t>и</w:t>
      </w:r>
      <w:r w:rsidR="00FC6B5C">
        <w:t>я нет</w:t>
      </w:r>
      <w:r w:rsidR="00F21E1B" w:rsidRPr="00FC6B5C">
        <w:t>.</w:t>
      </w:r>
      <w:proofErr w:type="gramEnd"/>
    </w:p>
    <w:p w:rsidR="00F17157" w:rsidRPr="0029403D" w:rsidRDefault="00FC6B5C" w:rsidP="00E7329A">
      <w:pPr>
        <w:pStyle w:val="1"/>
      </w:pPr>
      <w:r>
        <w:t>3</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Pr="006518DC" w:rsidRDefault="00F1605F" w:rsidP="00254658">
      <w:pPr>
        <w:ind w:firstLine="567"/>
        <w:jc w:val="both"/>
      </w:pPr>
      <w:r w:rsidRPr="006518DC">
        <w:t xml:space="preserve">Местный бюджет на </w:t>
      </w:r>
      <w:r w:rsidR="0099504D">
        <w:t>2015</w:t>
      </w:r>
      <w:r w:rsidRPr="006518DC">
        <w:t xml:space="preserve"> год по доходам в </w:t>
      </w:r>
      <w:r w:rsidR="00200EDB" w:rsidRPr="006518DC">
        <w:t>объёме</w:t>
      </w:r>
      <w:r w:rsidRPr="006518DC">
        <w:t xml:space="preserve"> </w:t>
      </w:r>
      <w:r w:rsidR="00577917">
        <w:t>6505,89</w:t>
      </w:r>
      <w:r w:rsidR="006E51C8">
        <w:t xml:space="preserve"> </w:t>
      </w:r>
      <w:r w:rsidR="00200EDB" w:rsidRPr="006518DC">
        <w:t xml:space="preserve">тыс. </w:t>
      </w:r>
      <w:r w:rsidR="00CA485C" w:rsidRPr="006518DC">
        <w:t>руб.</w:t>
      </w:r>
      <w:r w:rsidRPr="006518DC">
        <w:t xml:space="preserve"> утверждён</w:t>
      </w:r>
      <w:r w:rsidR="00200EDB" w:rsidRPr="006518DC">
        <w:t xml:space="preserve"> реш</w:t>
      </w:r>
      <w:r w:rsidR="00200EDB" w:rsidRPr="006518DC">
        <w:t>е</w:t>
      </w:r>
      <w:r w:rsidR="00200EDB" w:rsidRPr="006518DC">
        <w:t xml:space="preserve">нием Совета депутатов </w:t>
      </w:r>
      <w:r w:rsidR="00B0167B" w:rsidRPr="006518DC">
        <w:t>Кубан</w:t>
      </w:r>
      <w:r w:rsidR="00200EDB" w:rsidRPr="006518DC">
        <w:t>ского сельсовета Каргатского района Новосибирской области</w:t>
      </w:r>
      <w:r w:rsidR="00E676E9" w:rsidRPr="006518DC">
        <w:t xml:space="preserve"> о</w:t>
      </w:r>
      <w:r w:rsidR="00EB40C2" w:rsidRPr="006518DC">
        <w:t>т</w:t>
      </w:r>
      <w:r w:rsidR="006518DC">
        <w:t xml:space="preserve"> </w:t>
      </w:r>
      <w:r w:rsidR="00577917">
        <w:t>23</w:t>
      </w:r>
      <w:r w:rsidR="00E676E9" w:rsidRPr="006518DC">
        <w:t>.1</w:t>
      </w:r>
      <w:r w:rsidR="0002466F" w:rsidRPr="006518DC">
        <w:t>2</w:t>
      </w:r>
      <w:r w:rsidR="00E676E9" w:rsidRPr="006518DC">
        <w:t>.</w:t>
      </w:r>
      <w:r w:rsidR="0099504D">
        <w:t>201</w:t>
      </w:r>
      <w:r w:rsidR="00577917">
        <w:t>4</w:t>
      </w:r>
      <w:r w:rsidR="00E676E9" w:rsidRPr="006518DC">
        <w:t xml:space="preserve"> №</w:t>
      </w:r>
      <w:r w:rsidR="006E51C8">
        <w:t xml:space="preserve"> </w:t>
      </w:r>
      <w:r w:rsidR="00577917">
        <w:t>116</w:t>
      </w:r>
      <w:r w:rsidR="00E676E9" w:rsidRPr="006518DC">
        <w:t>.</w:t>
      </w:r>
      <w:r w:rsidR="003D4373" w:rsidRPr="006518DC">
        <w:t xml:space="preserve"> </w:t>
      </w:r>
    </w:p>
    <w:p w:rsidR="004D35A4" w:rsidRPr="005C769C" w:rsidRDefault="00961A67" w:rsidP="008723B0">
      <w:pPr>
        <w:spacing w:before="60"/>
        <w:ind w:firstLine="567"/>
        <w:jc w:val="both"/>
        <w:rPr>
          <w:b/>
          <w:i/>
        </w:rPr>
      </w:pPr>
      <w:r>
        <w:t>Информация о внесённых изменениях в р</w:t>
      </w:r>
      <w:r w:rsidR="006E51C8" w:rsidRPr="006518DC">
        <w:t>еш</w:t>
      </w:r>
      <w:r>
        <w:t>ение</w:t>
      </w:r>
      <w:r w:rsidRPr="00961A67">
        <w:t xml:space="preserve"> </w:t>
      </w:r>
      <w:r w:rsidRPr="006518DC">
        <w:t>от</w:t>
      </w:r>
      <w:r>
        <w:t xml:space="preserve"> 23</w:t>
      </w:r>
      <w:r w:rsidRPr="006518DC">
        <w:t>.12.</w:t>
      </w:r>
      <w:r>
        <w:t>2014</w:t>
      </w:r>
      <w:r w:rsidRPr="006518DC">
        <w:t xml:space="preserve"> №</w:t>
      </w:r>
      <w:r>
        <w:t xml:space="preserve"> 116 отсутствует.</w:t>
      </w:r>
      <w:r w:rsidR="001A2085" w:rsidRPr="006518DC">
        <w:t xml:space="preserve"> </w:t>
      </w:r>
      <w:r w:rsidR="00584D61">
        <w:t>Плановый показатель</w:t>
      </w:r>
      <w:r w:rsidR="00165378" w:rsidRPr="006518DC">
        <w:t xml:space="preserve"> доходов в отчёте об исполнении местного бюджета за </w:t>
      </w:r>
      <w:r w:rsidR="0099504D">
        <w:t>2015</w:t>
      </w:r>
      <w:r w:rsidR="00165378" w:rsidRPr="006518DC">
        <w:t xml:space="preserve"> год</w:t>
      </w:r>
      <w:r w:rsidR="00287D0D" w:rsidRPr="006518DC">
        <w:t xml:space="preserve"> – </w:t>
      </w:r>
      <w:r w:rsidR="00584D61">
        <w:t xml:space="preserve">11011,1 </w:t>
      </w:r>
      <w:r w:rsidR="00287D0D" w:rsidRPr="006518DC">
        <w:t>тыс. руб</w:t>
      </w:r>
      <w:r w:rsidR="00165378" w:rsidRPr="006518DC">
        <w:t>.</w:t>
      </w:r>
      <w:r w:rsidR="00584D61">
        <w:t xml:space="preserve">, что на </w:t>
      </w:r>
      <w:r w:rsidR="00584D61" w:rsidRPr="00584D61">
        <w:t>4505,21</w:t>
      </w:r>
      <w:r w:rsidR="00584D61">
        <w:t xml:space="preserve"> </w:t>
      </w:r>
      <w:r w:rsidR="00102AFD">
        <w:t xml:space="preserve">тыс. рублей </w:t>
      </w:r>
      <w:r w:rsidR="00584D61">
        <w:t>больше утверждё</w:t>
      </w:r>
      <w:r w:rsidR="005C769C">
        <w:t>нных назначений решением о бюджете.</w:t>
      </w:r>
      <w:r w:rsidR="00EC01E2" w:rsidRPr="006518DC">
        <w:t xml:space="preserve"> </w:t>
      </w:r>
      <w:r w:rsidR="00EC01E2" w:rsidRPr="005C769C">
        <w:rPr>
          <w:b/>
          <w:i/>
        </w:rPr>
        <w:t xml:space="preserve">Тем </w:t>
      </w:r>
      <w:r w:rsidR="00026371" w:rsidRPr="005C769C">
        <w:rPr>
          <w:b/>
          <w:i/>
        </w:rPr>
        <w:t xml:space="preserve">самым </w:t>
      </w:r>
      <w:r w:rsidR="005C769C">
        <w:rPr>
          <w:b/>
          <w:i/>
        </w:rPr>
        <w:t xml:space="preserve">не </w:t>
      </w:r>
      <w:r w:rsidR="006518DC" w:rsidRPr="005C769C">
        <w:rPr>
          <w:b/>
          <w:i/>
        </w:rPr>
        <w:t>выполняется</w:t>
      </w:r>
      <w:r w:rsidR="00EC01E2" w:rsidRPr="005C769C">
        <w:rPr>
          <w:b/>
          <w:i/>
        </w:rPr>
        <w:t xml:space="preserve"> с</w:t>
      </w:r>
      <w:r w:rsidR="004D35A4" w:rsidRPr="005C769C">
        <w:rPr>
          <w:b/>
          <w:i/>
        </w:rPr>
        <w:t>татья 32</w:t>
      </w:r>
      <w:r w:rsidR="00EC01E2" w:rsidRPr="005C769C">
        <w:rPr>
          <w:b/>
          <w:i/>
        </w:rPr>
        <w:t xml:space="preserve"> БК РФ:</w:t>
      </w:r>
    </w:p>
    <w:p w:rsidR="004D35A4" w:rsidRPr="006518DC" w:rsidRDefault="004D35A4" w:rsidP="00BD4EF3">
      <w:pPr>
        <w:autoSpaceDE w:val="0"/>
        <w:autoSpaceDN w:val="0"/>
        <w:adjustRightInd w:val="0"/>
        <w:spacing w:before="40"/>
        <w:ind w:firstLine="567"/>
        <w:jc w:val="both"/>
        <w:rPr>
          <w:i/>
          <w:sz w:val="20"/>
          <w:szCs w:val="20"/>
        </w:rPr>
      </w:pPr>
      <w:r w:rsidRPr="006518DC">
        <w:rPr>
          <w:i/>
          <w:sz w:val="20"/>
          <w:szCs w:val="20"/>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6518DC">
        <w:rPr>
          <w:i/>
          <w:sz w:val="20"/>
          <w:szCs w:val="20"/>
        </w:rPr>
        <w:t>о</w:t>
      </w:r>
      <w:r w:rsidRPr="006518DC">
        <w:rPr>
          <w:i/>
          <w:sz w:val="20"/>
          <w:szCs w:val="20"/>
        </w:rPr>
        <w:t>рядке и в полном объеме отражаются в соответствующих бюджетах».</w:t>
      </w:r>
    </w:p>
    <w:p w:rsidR="00006951" w:rsidRPr="0029403D" w:rsidRDefault="00B80AA4" w:rsidP="008723B0">
      <w:pPr>
        <w:spacing w:before="60"/>
        <w:ind w:firstLine="567"/>
        <w:jc w:val="both"/>
      </w:pPr>
      <w:r w:rsidRPr="0029403D">
        <w:t xml:space="preserve">Исполнение местного бюджета по доходам за </w:t>
      </w:r>
      <w:r w:rsidR="0099504D">
        <w:t>2015</w:t>
      </w:r>
      <w:r w:rsidRPr="0029403D">
        <w:t xml:space="preserve"> год составило </w:t>
      </w:r>
      <w:r w:rsidR="005C769C">
        <w:t>10992,4</w:t>
      </w:r>
      <w:r w:rsidRPr="0029403D">
        <w:t xml:space="preserve"> тыс. </w:t>
      </w:r>
      <w:r w:rsidR="00CA485C" w:rsidRPr="0029403D">
        <w:t>руб.</w:t>
      </w:r>
      <w:r w:rsidRPr="0029403D">
        <w:t xml:space="preserve"> или </w:t>
      </w:r>
      <w:r w:rsidR="005C769C">
        <w:t>99,8</w:t>
      </w:r>
      <w:r w:rsidRPr="0029403D">
        <w:t>% к плану</w:t>
      </w:r>
      <w:r w:rsidR="003C3735">
        <w:t xml:space="preserve"> </w:t>
      </w:r>
      <w:r w:rsidR="003C3735" w:rsidRPr="0029403D">
        <w:t>(</w:t>
      </w:r>
      <w:r w:rsidR="003C3735">
        <w:t>недоисполнение</w:t>
      </w:r>
      <w:r w:rsidR="003C3735" w:rsidRPr="0029403D">
        <w:t xml:space="preserve"> – </w:t>
      </w:r>
      <w:r w:rsidR="003C3735">
        <w:t>18,7</w:t>
      </w:r>
      <w:r w:rsidR="003C3735" w:rsidRPr="0029403D">
        <w:t xml:space="preserve"> тыс. руб.).</w:t>
      </w:r>
      <w:r w:rsidR="000D538E">
        <w:t xml:space="preserve"> </w:t>
      </w:r>
      <w:r w:rsidR="00006951" w:rsidRPr="0029403D">
        <w:t>Из общей суммы доходов налоговые и н</w:t>
      </w:r>
      <w:r w:rsidR="00006951" w:rsidRPr="0029403D">
        <w:t>е</w:t>
      </w:r>
      <w:r w:rsidR="00006951" w:rsidRPr="0029403D">
        <w:t xml:space="preserve">налоговые поступления составили </w:t>
      </w:r>
      <w:r w:rsidR="003C3735">
        <w:t>2514,7</w:t>
      </w:r>
      <w:r w:rsidR="00006951" w:rsidRPr="0029403D">
        <w:t xml:space="preserve"> тыс. </w:t>
      </w:r>
      <w:r w:rsidR="00CA485C" w:rsidRPr="0029403D">
        <w:t>руб.</w:t>
      </w:r>
      <w:r w:rsidR="00006951" w:rsidRPr="0029403D">
        <w:t xml:space="preserve"> или </w:t>
      </w:r>
      <w:r w:rsidR="003C3735">
        <w:t>22,9</w:t>
      </w:r>
      <w:r w:rsidR="00006951" w:rsidRPr="0029403D">
        <w:t xml:space="preserve">%, безвозмездные поступления – </w:t>
      </w:r>
      <w:r w:rsidR="003C3735">
        <w:t>8477</w:t>
      </w:r>
      <w:r w:rsidR="000D538E">
        <w:t>,7</w:t>
      </w:r>
      <w:r w:rsidR="00006951" w:rsidRPr="0029403D">
        <w:t> тыс.</w:t>
      </w:r>
      <w:r w:rsidR="00C1658D" w:rsidRPr="0029403D">
        <w:t xml:space="preserve"> </w:t>
      </w:r>
      <w:r w:rsidR="00CA485C" w:rsidRPr="0029403D">
        <w:t>руб.</w:t>
      </w:r>
      <w:r w:rsidR="00006951" w:rsidRPr="0029403D">
        <w:t xml:space="preserve"> или </w:t>
      </w:r>
      <w:r w:rsidR="00926DC2">
        <w:t>77,1</w:t>
      </w:r>
      <w:r w:rsidR="00006951" w:rsidRPr="0029403D">
        <w:t>%.</w:t>
      </w:r>
    </w:p>
    <w:p w:rsidR="001328F1" w:rsidRPr="0029403D" w:rsidRDefault="001328F1" w:rsidP="008723B0">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926DC2">
        <w:t>увелич</w:t>
      </w:r>
      <w:r w:rsidR="00926DC2">
        <w:t>и</w:t>
      </w:r>
      <w:r w:rsidR="00926DC2">
        <w:t>лись</w:t>
      </w:r>
      <w:r w:rsidRPr="0029403D">
        <w:t xml:space="preserve"> на </w:t>
      </w:r>
      <w:r w:rsidR="00926DC2">
        <w:t>356,4</w:t>
      </w:r>
      <w:r w:rsidR="004E64C9" w:rsidRPr="004E64C9">
        <w:t xml:space="preserve"> </w:t>
      </w:r>
      <w:r w:rsidRPr="0029403D">
        <w:t>тыс.</w:t>
      </w:r>
      <w:r w:rsidR="003D272D" w:rsidRPr="0029403D">
        <w:t xml:space="preserve"> </w:t>
      </w:r>
      <w:r w:rsidR="00CA485C" w:rsidRPr="0029403D">
        <w:t>руб.</w:t>
      </w:r>
      <w:r w:rsidRPr="0029403D">
        <w:t xml:space="preserve"> или </w:t>
      </w:r>
      <w:r w:rsidR="00B4773B">
        <w:t xml:space="preserve">на </w:t>
      </w:r>
      <w:r w:rsidR="00926DC2">
        <w:t>3,4</w:t>
      </w:r>
      <w:r w:rsidRPr="0029403D">
        <w:t xml:space="preserve">%, в том числе </w:t>
      </w:r>
      <w:r w:rsidR="001946F6" w:rsidRPr="0029403D">
        <w:t xml:space="preserve">налоговые и неналоговые поступления </w:t>
      </w:r>
      <w:r w:rsidR="00926DC2">
        <w:t>ув</w:t>
      </w:r>
      <w:r w:rsidR="00926DC2">
        <w:t>е</w:t>
      </w:r>
      <w:r w:rsidR="00926DC2">
        <w:t>личились</w:t>
      </w:r>
      <w:r w:rsidR="00926DC2" w:rsidRPr="0029403D">
        <w:t xml:space="preserve"> </w:t>
      </w:r>
      <w:r w:rsidR="002308B9" w:rsidRPr="0029403D">
        <w:t>на</w:t>
      </w:r>
      <w:r w:rsidR="00D912CC" w:rsidRPr="0029403D">
        <w:t xml:space="preserve"> </w:t>
      </w:r>
      <w:r w:rsidR="00926DC2">
        <w:t>1119,4</w:t>
      </w:r>
      <w:r w:rsidR="001946F6" w:rsidRPr="0029403D">
        <w:t xml:space="preserve"> тыс. </w:t>
      </w:r>
      <w:r w:rsidR="00CA485C" w:rsidRPr="0029403D">
        <w:t>руб.</w:t>
      </w:r>
      <w:r w:rsidR="001946F6" w:rsidRPr="0029403D">
        <w:t xml:space="preserve"> или </w:t>
      </w:r>
      <w:r w:rsidR="00B4773B">
        <w:t xml:space="preserve">на </w:t>
      </w:r>
      <w:r w:rsidR="00926DC2">
        <w:t>80,2</w:t>
      </w:r>
      <w:r w:rsidR="001946F6" w:rsidRPr="0029403D">
        <w:t>%, безвозмездные</w:t>
      </w:r>
      <w:r w:rsidR="002308B9" w:rsidRPr="0029403D">
        <w:t xml:space="preserve"> поступления</w:t>
      </w:r>
      <w:r w:rsidR="001946F6" w:rsidRPr="0029403D">
        <w:t xml:space="preserve"> </w:t>
      </w:r>
      <w:r w:rsidR="000D538E">
        <w:t>снизились</w:t>
      </w:r>
      <w:r w:rsidR="000D538E" w:rsidRPr="0029403D">
        <w:t xml:space="preserve"> </w:t>
      </w:r>
      <w:r w:rsidR="002308B9" w:rsidRPr="0029403D">
        <w:t xml:space="preserve">на </w:t>
      </w:r>
      <w:r w:rsidR="00926DC2">
        <w:t>763,0</w:t>
      </w:r>
      <w:r w:rsidR="002308B9" w:rsidRPr="0029403D">
        <w:t xml:space="preserve"> тыс. </w:t>
      </w:r>
      <w:r w:rsidR="00CA485C" w:rsidRPr="0029403D">
        <w:t>руб.</w:t>
      </w:r>
      <w:r w:rsidR="002308B9" w:rsidRPr="0029403D">
        <w:t xml:space="preserve"> или </w:t>
      </w:r>
      <w:proofErr w:type="gramStart"/>
      <w:r w:rsidR="000D538E">
        <w:t>на</w:t>
      </w:r>
      <w:proofErr w:type="gramEnd"/>
      <w:r w:rsidR="000D538E">
        <w:t xml:space="preserve"> </w:t>
      </w:r>
      <w:r w:rsidR="00926DC2">
        <w:t>8,3</w:t>
      </w:r>
      <w:r w:rsidR="002308B9" w:rsidRPr="0029403D">
        <w:t>%</w:t>
      </w:r>
      <w:r w:rsidRPr="0029403D">
        <w:t>.</w:t>
      </w:r>
      <w:r w:rsidR="003C2211">
        <w:t xml:space="preserve"> </w:t>
      </w:r>
    </w:p>
    <w:p w:rsidR="005E15EC" w:rsidRPr="0029403D" w:rsidRDefault="005E15EC" w:rsidP="00E7329A">
      <w:pPr>
        <w:spacing w:before="8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99504D">
        <w:rPr>
          <w:bCs/>
          <w:iCs/>
        </w:rPr>
        <w:t>2015</w:t>
      </w:r>
      <w:r w:rsidRPr="00E56C9E">
        <w:rPr>
          <w:bCs/>
          <w:iCs/>
        </w:rPr>
        <w:t xml:space="preserve"> год </w:t>
      </w:r>
      <w:r w:rsidR="008608CA" w:rsidRPr="00E56C9E">
        <w:rPr>
          <w:bCs/>
          <w:iCs/>
        </w:rPr>
        <w:t>исполнены</w:t>
      </w:r>
      <w:r w:rsidRPr="00E56C9E">
        <w:rPr>
          <w:bCs/>
          <w:iCs/>
        </w:rPr>
        <w:t xml:space="preserve"> в объ</w:t>
      </w:r>
      <w:r w:rsidR="00B4773B">
        <w:rPr>
          <w:bCs/>
          <w:iCs/>
        </w:rPr>
        <w:t>ё</w:t>
      </w:r>
      <w:r w:rsidRPr="00E56C9E">
        <w:rPr>
          <w:bCs/>
          <w:iCs/>
        </w:rPr>
        <w:t xml:space="preserve">ме </w:t>
      </w:r>
      <w:r w:rsidR="00926DC2">
        <w:rPr>
          <w:bCs/>
          <w:iCs/>
        </w:rPr>
        <w:t>2495,2</w:t>
      </w:r>
      <w:r w:rsidRPr="00E56C9E">
        <w:rPr>
          <w:bCs/>
          <w:iCs/>
        </w:rPr>
        <w:t xml:space="preserve"> тыс. руб. </w:t>
      </w:r>
      <w:r w:rsidR="00356683" w:rsidRPr="00E56C9E">
        <w:rPr>
          <w:bCs/>
          <w:iCs/>
        </w:rPr>
        <w:t xml:space="preserve">или </w:t>
      </w:r>
      <w:r w:rsidR="00057483">
        <w:rPr>
          <w:bCs/>
          <w:iCs/>
        </w:rPr>
        <w:t>102,2</w:t>
      </w:r>
      <w:r w:rsidR="00CB7F16" w:rsidRPr="00E56C9E">
        <w:rPr>
          <w:bCs/>
          <w:iCs/>
        </w:rPr>
        <w:t>% от плановых назначений</w:t>
      </w:r>
      <w:r w:rsidR="00A95C7A">
        <w:t>.</w:t>
      </w:r>
    </w:p>
    <w:p w:rsidR="005E15EC" w:rsidRPr="0029403D" w:rsidRDefault="005E15EC" w:rsidP="00D27A12">
      <w:pPr>
        <w:spacing w:before="60"/>
        <w:ind w:firstLine="567"/>
        <w:jc w:val="both"/>
      </w:pPr>
      <w:r w:rsidRPr="0029403D">
        <w:t>Подробный анализ поступления налоговых доходов представлен в таблице 1.</w:t>
      </w:r>
    </w:p>
    <w:p w:rsidR="005E15EC" w:rsidRPr="009D4A15" w:rsidRDefault="005E15EC" w:rsidP="00650AFA">
      <w:pPr>
        <w:spacing w:before="120" w:after="120"/>
        <w:jc w:val="center"/>
        <w:rPr>
          <w:sz w:val="22"/>
          <w:szCs w:val="22"/>
        </w:rPr>
      </w:pPr>
      <w:r w:rsidRPr="009D4A15">
        <w:rPr>
          <w:sz w:val="22"/>
          <w:szCs w:val="22"/>
        </w:rPr>
        <w:t xml:space="preserve">Таблица 1. Структура </w:t>
      </w:r>
      <w:r w:rsidR="000A68BE" w:rsidRPr="009D4A15">
        <w:rPr>
          <w:sz w:val="22"/>
          <w:szCs w:val="22"/>
        </w:rPr>
        <w:t xml:space="preserve">и динамика поступления </w:t>
      </w:r>
      <w:r w:rsidRPr="009D4A15">
        <w:rPr>
          <w:sz w:val="22"/>
          <w:szCs w:val="22"/>
        </w:rPr>
        <w:t>налоговых доходов местного бюджета, тыс. руб.</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794"/>
        <w:gridCol w:w="794"/>
        <w:gridCol w:w="794"/>
        <w:gridCol w:w="794"/>
        <w:gridCol w:w="794"/>
        <w:gridCol w:w="794"/>
        <w:gridCol w:w="1361"/>
        <w:gridCol w:w="1361"/>
      </w:tblGrid>
      <w:tr w:rsidR="00BB7E0B" w:rsidRPr="0029403D" w:rsidTr="001F4D35">
        <w:trPr>
          <w:trHeight w:val="528"/>
        </w:trPr>
        <w:tc>
          <w:tcPr>
            <w:tcW w:w="2154" w:type="dxa"/>
            <w:vMerge w:val="restart"/>
            <w:vAlign w:val="center"/>
          </w:tcPr>
          <w:p w:rsidR="004E5F3D" w:rsidRDefault="001D6AAD" w:rsidP="00877B5F">
            <w:pPr>
              <w:rPr>
                <w:i/>
                <w:sz w:val="20"/>
                <w:szCs w:val="20"/>
              </w:rPr>
            </w:pPr>
            <w:r w:rsidRPr="0029403D">
              <w:rPr>
                <w:i/>
                <w:sz w:val="20"/>
                <w:szCs w:val="20"/>
              </w:rPr>
              <w:t>Наименования дохода</w:t>
            </w:r>
          </w:p>
          <w:p w:rsidR="00BB7E0B" w:rsidRPr="004E5F3D" w:rsidRDefault="00BB7E0B" w:rsidP="004E5F3D">
            <w:pPr>
              <w:rPr>
                <w:sz w:val="20"/>
                <w:szCs w:val="20"/>
              </w:rPr>
            </w:pPr>
          </w:p>
        </w:tc>
        <w:tc>
          <w:tcPr>
            <w:tcW w:w="2382"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722" w:type="dxa"/>
            <w:gridSpan w:val="2"/>
            <w:vAlign w:val="center"/>
          </w:tcPr>
          <w:p w:rsidR="00BB7E0B" w:rsidRPr="0029403D" w:rsidRDefault="00BB7E0B" w:rsidP="00350957">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1F4D35">
        <w:trPr>
          <w:trHeight w:val="423"/>
        </w:trPr>
        <w:tc>
          <w:tcPr>
            <w:tcW w:w="2154" w:type="dxa"/>
            <w:vMerge/>
            <w:vAlign w:val="center"/>
          </w:tcPr>
          <w:p w:rsidR="00BB7E0B" w:rsidRPr="0029403D" w:rsidRDefault="00BB7E0B" w:rsidP="00877B5F">
            <w:pPr>
              <w:rPr>
                <w:i/>
                <w:sz w:val="20"/>
                <w:szCs w:val="20"/>
              </w:rPr>
            </w:pPr>
          </w:p>
        </w:tc>
        <w:tc>
          <w:tcPr>
            <w:tcW w:w="794" w:type="dxa"/>
            <w:vAlign w:val="center"/>
          </w:tcPr>
          <w:p w:rsidR="00BB7E0B" w:rsidRPr="0029403D" w:rsidRDefault="0099504D" w:rsidP="00877B5F">
            <w:pPr>
              <w:jc w:val="center"/>
              <w:rPr>
                <w:i/>
                <w:sz w:val="20"/>
                <w:szCs w:val="20"/>
              </w:rPr>
            </w:pPr>
            <w:r>
              <w:rPr>
                <w:i/>
                <w:sz w:val="20"/>
                <w:szCs w:val="20"/>
              </w:rPr>
              <w:t>2013</w:t>
            </w:r>
          </w:p>
        </w:tc>
        <w:tc>
          <w:tcPr>
            <w:tcW w:w="794" w:type="dxa"/>
            <w:vAlign w:val="center"/>
          </w:tcPr>
          <w:p w:rsidR="00BB7E0B" w:rsidRPr="0029403D" w:rsidRDefault="0099504D" w:rsidP="00877B5F">
            <w:pPr>
              <w:jc w:val="center"/>
              <w:rPr>
                <w:i/>
                <w:sz w:val="20"/>
                <w:szCs w:val="20"/>
              </w:rPr>
            </w:pPr>
            <w:r>
              <w:rPr>
                <w:i/>
                <w:sz w:val="20"/>
                <w:szCs w:val="20"/>
              </w:rPr>
              <w:t>2014</w:t>
            </w:r>
          </w:p>
        </w:tc>
        <w:tc>
          <w:tcPr>
            <w:tcW w:w="794" w:type="dxa"/>
            <w:vAlign w:val="center"/>
          </w:tcPr>
          <w:p w:rsidR="00BB7E0B" w:rsidRPr="0029403D" w:rsidRDefault="0099504D" w:rsidP="00877B5F">
            <w:pPr>
              <w:jc w:val="center"/>
              <w:rPr>
                <w:i/>
                <w:sz w:val="20"/>
                <w:szCs w:val="20"/>
              </w:rPr>
            </w:pPr>
            <w:r>
              <w:rPr>
                <w:i/>
                <w:sz w:val="20"/>
                <w:szCs w:val="20"/>
              </w:rPr>
              <w:t>2015</w:t>
            </w:r>
          </w:p>
        </w:tc>
        <w:tc>
          <w:tcPr>
            <w:tcW w:w="794" w:type="dxa"/>
            <w:vAlign w:val="center"/>
          </w:tcPr>
          <w:p w:rsidR="00BB7E0B" w:rsidRPr="0029403D" w:rsidRDefault="0099504D" w:rsidP="00877B5F">
            <w:pPr>
              <w:jc w:val="center"/>
              <w:rPr>
                <w:i/>
                <w:sz w:val="20"/>
                <w:szCs w:val="20"/>
              </w:rPr>
            </w:pPr>
            <w:r>
              <w:rPr>
                <w:i/>
                <w:sz w:val="20"/>
                <w:szCs w:val="20"/>
              </w:rPr>
              <w:t>2013</w:t>
            </w:r>
          </w:p>
        </w:tc>
        <w:tc>
          <w:tcPr>
            <w:tcW w:w="794" w:type="dxa"/>
            <w:vAlign w:val="center"/>
          </w:tcPr>
          <w:p w:rsidR="00BB7E0B" w:rsidRPr="0029403D" w:rsidRDefault="0099504D" w:rsidP="00877B5F">
            <w:pPr>
              <w:jc w:val="center"/>
              <w:rPr>
                <w:i/>
                <w:sz w:val="20"/>
                <w:szCs w:val="20"/>
              </w:rPr>
            </w:pPr>
            <w:r>
              <w:rPr>
                <w:i/>
                <w:sz w:val="20"/>
                <w:szCs w:val="20"/>
              </w:rPr>
              <w:t>2014</w:t>
            </w:r>
          </w:p>
        </w:tc>
        <w:tc>
          <w:tcPr>
            <w:tcW w:w="794" w:type="dxa"/>
            <w:vAlign w:val="center"/>
          </w:tcPr>
          <w:p w:rsidR="00BB7E0B" w:rsidRPr="0029403D" w:rsidRDefault="0099504D" w:rsidP="00877B5F">
            <w:pPr>
              <w:jc w:val="center"/>
              <w:rPr>
                <w:i/>
                <w:sz w:val="20"/>
                <w:szCs w:val="20"/>
              </w:rPr>
            </w:pPr>
            <w:r>
              <w:rPr>
                <w:i/>
                <w:sz w:val="20"/>
                <w:szCs w:val="20"/>
              </w:rPr>
              <w:t>2015</w:t>
            </w:r>
          </w:p>
        </w:tc>
        <w:tc>
          <w:tcPr>
            <w:tcW w:w="1361" w:type="dxa"/>
            <w:vAlign w:val="center"/>
          </w:tcPr>
          <w:p w:rsidR="00BB7E0B" w:rsidRPr="0029403D" w:rsidRDefault="0099504D" w:rsidP="00877B5F">
            <w:pPr>
              <w:jc w:val="center"/>
              <w:rPr>
                <w:i/>
                <w:sz w:val="20"/>
                <w:szCs w:val="20"/>
              </w:rPr>
            </w:pPr>
            <w:r>
              <w:rPr>
                <w:i/>
                <w:sz w:val="20"/>
                <w:szCs w:val="20"/>
              </w:rPr>
              <w:t>2014</w:t>
            </w:r>
            <w:r w:rsidR="00350957">
              <w:rPr>
                <w:i/>
                <w:sz w:val="20"/>
                <w:szCs w:val="20"/>
              </w:rPr>
              <w:t xml:space="preserve"> к </w:t>
            </w:r>
            <w:r>
              <w:rPr>
                <w:i/>
                <w:sz w:val="20"/>
                <w:szCs w:val="20"/>
              </w:rPr>
              <w:t>2013</w:t>
            </w:r>
          </w:p>
        </w:tc>
        <w:tc>
          <w:tcPr>
            <w:tcW w:w="1361" w:type="dxa"/>
            <w:vAlign w:val="center"/>
          </w:tcPr>
          <w:p w:rsidR="00BB7E0B" w:rsidRPr="0029403D" w:rsidRDefault="0099504D" w:rsidP="00877B5F">
            <w:pPr>
              <w:jc w:val="center"/>
              <w:rPr>
                <w:i/>
                <w:sz w:val="20"/>
                <w:szCs w:val="20"/>
              </w:rPr>
            </w:pPr>
            <w:r>
              <w:rPr>
                <w:i/>
                <w:sz w:val="20"/>
                <w:szCs w:val="20"/>
              </w:rPr>
              <w:t>2015</w:t>
            </w:r>
            <w:r w:rsidR="00350957">
              <w:rPr>
                <w:i/>
                <w:sz w:val="20"/>
                <w:szCs w:val="20"/>
              </w:rPr>
              <w:t xml:space="preserve"> к </w:t>
            </w:r>
            <w:r>
              <w:rPr>
                <w:i/>
                <w:sz w:val="20"/>
                <w:szCs w:val="20"/>
              </w:rPr>
              <w:t>2014</w:t>
            </w:r>
          </w:p>
        </w:tc>
      </w:tr>
      <w:tr w:rsidR="00057483" w:rsidRPr="0029403D" w:rsidTr="001F4D35">
        <w:trPr>
          <w:trHeight w:val="340"/>
        </w:trPr>
        <w:tc>
          <w:tcPr>
            <w:tcW w:w="2154" w:type="dxa"/>
            <w:vAlign w:val="center"/>
          </w:tcPr>
          <w:p w:rsidR="00057483" w:rsidRPr="00037D1B" w:rsidRDefault="00057483" w:rsidP="001F4D35">
            <w:pPr>
              <w:spacing w:before="20" w:after="20"/>
              <w:rPr>
                <w:sz w:val="22"/>
                <w:szCs w:val="22"/>
              </w:rPr>
            </w:pPr>
            <w:r w:rsidRPr="00037D1B">
              <w:rPr>
                <w:sz w:val="22"/>
                <w:szCs w:val="22"/>
              </w:rPr>
              <w:t>НДФЛ</w:t>
            </w:r>
          </w:p>
        </w:tc>
        <w:tc>
          <w:tcPr>
            <w:tcW w:w="794" w:type="dxa"/>
            <w:vAlign w:val="center"/>
          </w:tcPr>
          <w:p w:rsidR="00057483" w:rsidRPr="00167CFC" w:rsidRDefault="00057483" w:rsidP="001F4D35">
            <w:pPr>
              <w:spacing w:before="20" w:after="20"/>
              <w:jc w:val="center"/>
              <w:rPr>
                <w:sz w:val="21"/>
                <w:szCs w:val="21"/>
              </w:rPr>
            </w:pPr>
            <w:r w:rsidRPr="00167CFC">
              <w:rPr>
                <w:sz w:val="21"/>
                <w:szCs w:val="21"/>
              </w:rPr>
              <w:t>516,8</w:t>
            </w:r>
          </w:p>
        </w:tc>
        <w:tc>
          <w:tcPr>
            <w:tcW w:w="794" w:type="dxa"/>
            <w:vAlign w:val="center"/>
          </w:tcPr>
          <w:p w:rsidR="00057483" w:rsidRPr="00167CFC" w:rsidRDefault="00057483" w:rsidP="001F4D35">
            <w:pPr>
              <w:spacing w:before="20" w:after="20"/>
              <w:jc w:val="center"/>
              <w:rPr>
                <w:sz w:val="21"/>
                <w:szCs w:val="21"/>
              </w:rPr>
            </w:pPr>
            <w:r w:rsidRPr="00167CFC">
              <w:rPr>
                <w:sz w:val="21"/>
                <w:szCs w:val="21"/>
              </w:rPr>
              <w:t>587,3</w:t>
            </w:r>
          </w:p>
        </w:tc>
        <w:tc>
          <w:tcPr>
            <w:tcW w:w="794" w:type="dxa"/>
            <w:vAlign w:val="center"/>
          </w:tcPr>
          <w:p w:rsidR="00167CFC" w:rsidRPr="00167CFC" w:rsidRDefault="00167CFC" w:rsidP="001F4D35">
            <w:pPr>
              <w:spacing w:before="20" w:after="20"/>
              <w:jc w:val="center"/>
              <w:rPr>
                <w:sz w:val="21"/>
                <w:szCs w:val="21"/>
              </w:rPr>
            </w:pPr>
            <w:r w:rsidRPr="00167CFC">
              <w:rPr>
                <w:sz w:val="21"/>
                <w:szCs w:val="21"/>
              </w:rPr>
              <w:t>627,3</w:t>
            </w:r>
          </w:p>
        </w:tc>
        <w:tc>
          <w:tcPr>
            <w:tcW w:w="794" w:type="dxa"/>
            <w:vAlign w:val="center"/>
          </w:tcPr>
          <w:p w:rsidR="00057483" w:rsidRPr="00167CFC" w:rsidRDefault="00057483" w:rsidP="001F4D35">
            <w:pPr>
              <w:spacing w:before="20" w:after="20"/>
              <w:jc w:val="center"/>
              <w:rPr>
                <w:sz w:val="21"/>
                <w:szCs w:val="21"/>
              </w:rPr>
            </w:pPr>
            <w:r w:rsidRPr="00167CFC">
              <w:rPr>
                <w:sz w:val="21"/>
                <w:szCs w:val="21"/>
              </w:rPr>
              <w:t>35,9%</w:t>
            </w:r>
          </w:p>
        </w:tc>
        <w:tc>
          <w:tcPr>
            <w:tcW w:w="794" w:type="dxa"/>
            <w:vAlign w:val="center"/>
          </w:tcPr>
          <w:p w:rsidR="00057483" w:rsidRPr="00167CFC" w:rsidRDefault="00057483" w:rsidP="001F4D35">
            <w:pPr>
              <w:spacing w:before="20" w:after="20"/>
              <w:jc w:val="center"/>
              <w:rPr>
                <w:sz w:val="21"/>
                <w:szCs w:val="21"/>
              </w:rPr>
            </w:pPr>
            <w:r w:rsidRPr="00167CFC">
              <w:rPr>
                <w:sz w:val="21"/>
                <w:szCs w:val="21"/>
              </w:rPr>
              <w:t>48,3%</w:t>
            </w:r>
          </w:p>
        </w:tc>
        <w:tc>
          <w:tcPr>
            <w:tcW w:w="794" w:type="dxa"/>
            <w:vAlign w:val="center"/>
          </w:tcPr>
          <w:p w:rsidR="00057483" w:rsidRPr="00167CFC" w:rsidRDefault="00167CFC" w:rsidP="001F4D35">
            <w:pPr>
              <w:spacing w:before="20" w:after="20"/>
              <w:jc w:val="center"/>
              <w:rPr>
                <w:sz w:val="21"/>
                <w:szCs w:val="21"/>
              </w:rPr>
            </w:pPr>
            <w:r>
              <w:rPr>
                <w:sz w:val="21"/>
                <w:szCs w:val="21"/>
              </w:rPr>
              <w:t>25,1%</w:t>
            </w:r>
          </w:p>
        </w:tc>
        <w:tc>
          <w:tcPr>
            <w:tcW w:w="1361" w:type="dxa"/>
            <w:vAlign w:val="center"/>
          </w:tcPr>
          <w:p w:rsidR="00057483" w:rsidRPr="00313DF1" w:rsidRDefault="00057483" w:rsidP="001F4D35">
            <w:pPr>
              <w:spacing w:before="20" w:after="20"/>
              <w:jc w:val="center"/>
              <w:rPr>
                <w:sz w:val="21"/>
                <w:szCs w:val="21"/>
              </w:rPr>
            </w:pPr>
            <w:r>
              <w:rPr>
                <w:sz w:val="21"/>
                <w:szCs w:val="21"/>
              </w:rPr>
              <w:t>70,5 / 13,6%</w:t>
            </w:r>
          </w:p>
        </w:tc>
        <w:tc>
          <w:tcPr>
            <w:tcW w:w="1361" w:type="dxa"/>
            <w:vAlign w:val="center"/>
          </w:tcPr>
          <w:p w:rsidR="00057483" w:rsidRPr="00313DF1" w:rsidRDefault="00145862" w:rsidP="001F4D35">
            <w:pPr>
              <w:spacing w:before="20" w:after="20"/>
              <w:jc w:val="center"/>
              <w:rPr>
                <w:sz w:val="21"/>
                <w:szCs w:val="21"/>
              </w:rPr>
            </w:pPr>
            <w:r>
              <w:rPr>
                <w:sz w:val="21"/>
                <w:szCs w:val="21"/>
              </w:rPr>
              <w:t>40,0</w:t>
            </w:r>
            <w:r w:rsidR="00057483">
              <w:rPr>
                <w:sz w:val="21"/>
                <w:szCs w:val="21"/>
              </w:rPr>
              <w:t xml:space="preserve"> / </w:t>
            </w:r>
            <w:r>
              <w:rPr>
                <w:sz w:val="21"/>
                <w:szCs w:val="21"/>
              </w:rPr>
              <w:t>6,8</w:t>
            </w:r>
            <w:r w:rsidR="00057483">
              <w:rPr>
                <w:sz w:val="21"/>
                <w:szCs w:val="21"/>
              </w:rPr>
              <w:t>%</w:t>
            </w:r>
          </w:p>
        </w:tc>
      </w:tr>
      <w:tr w:rsidR="00057483" w:rsidRPr="0029403D" w:rsidTr="001F4D35">
        <w:trPr>
          <w:trHeight w:val="283"/>
        </w:trPr>
        <w:tc>
          <w:tcPr>
            <w:tcW w:w="2154" w:type="dxa"/>
          </w:tcPr>
          <w:p w:rsidR="00057483" w:rsidRPr="00037D1B" w:rsidRDefault="00057483" w:rsidP="001F4D35">
            <w:pPr>
              <w:spacing w:before="20" w:after="20"/>
              <w:rPr>
                <w:sz w:val="22"/>
                <w:szCs w:val="22"/>
              </w:rPr>
            </w:pPr>
            <w:r>
              <w:rPr>
                <w:sz w:val="22"/>
                <w:szCs w:val="22"/>
              </w:rPr>
              <w:t>Акцизы</w:t>
            </w:r>
          </w:p>
        </w:tc>
        <w:tc>
          <w:tcPr>
            <w:tcW w:w="794" w:type="dxa"/>
            <w:vAlign w:val="center"/>
          </w:tcPr>
          <w:p w:rsidR="00057483" w:rsidRPr="00167CFC" w:rsidRDefault="00057483" w:rsidP="001F4D35">
            <w:pPr>
              <w:spacing w:before="20" w:after="20"/>
              <w:jc w:val="center"/>
              <w:rPr>
                <w:sz w:val="21"/>
                <w:szCs w:val="21"/>
              </w:rPr>
            </w:pPr>
          </w:p>
        </w:tc>
        <w:tc>
          <w:tcPr>
            <w:tcW w:w="794" w:type="dxa"/>
            <w:vAlign w:val="center"/>
          </w:tcPr>
          <w:p w:rsidR="00057483" w:rsidRPr="00167CFC" w:rsidRDefault="00057483" w:rsidP="001F4D35">
            <w:pPr>
              <w:spacing w:before="20" w:after="20"/>
              <w:jc w:val="center"/>
              <w:rPr>
                <w:sz w:val="21"/>
                <w:szCs w:val="21"/>
              </w:rPr>
            </w:pPr>
          </w:p>
        </w:tc>
        <w:tc>
          <w:tcPr>
            <w:tcW w:w="794" w:type="dxa"/>
            <w:vAlign w:val="center"/>
          </w:tcPr>
          <w:p w:rsidR="00057483" w:rsidRPr="00167CFC" w:rsidRDefault="00167CFC" w:rsidP="001F4D35">
            <w:pPr>
              <w:spacing w:before="20" w:after="20"/>
              <w:jc w:val="center"/>
              <w:rPr>
                <w:sz w:val="21"/>
                <w:szCs w:val="21"/>
              </w:rPr>
            </w:pPr>
            <w:r w:rsidRPr="00167CFC">
              <w:rPr>
                <w:sz w:val="21"/>
                <w:szCs w:val="21"/>
              </w:rPr>
              <w:t>425,0</w:t>
            </w:r>
          </w:p>
        </w:tc>
        <w:tc>
          <w:tcPr>
            <w:tcW w:w="794" w:type="dxa"/>
            <w:vAlign w:val="center"/>
          </w:tcPr>
          <w:p w:rsidR="00057483" w:rsidRPr="00167CFC" w:rsidRDefault="00057483" w:rsidP="001F4D35">
            <w:pPr>
              <w:spacing w:before="20" w:after="20"/>
              <w:jc w:val="center"/>
              <w:rPr>
                <w:sz w:val="21"/>
                <w:szCs w:val="21"/>
              </w:rPr>
            </w:pPr>
          </w:p>
        </w:tc>
        <w:tc>
          <w:tcPr>
            <w:tcW w:w="794" w:type="dxa"/>
            <w:vAlign w:val="center"/>
          </w:tcPr>
          <w:p w:rsidR="00057483" w:rsidRPr="00167CFC" w:rsidRDefault="00057483" w:rsidP="001F4D35">
            <w:pPr>
              <w:spacing w:before="20" w:after="20"/>
              <w:jc w:val="center"/>
              <w:rPr>
                <w:sz w:val="21"/>
                <w:szCs w:val="21"/>
              </w:rPr>
            </w:pPr>
          </w:p>
        </w:tc>
        <w:tc>
          <w:tcPr>
            <w:tcW w:w="794" w:type="dxa"/>
            <w:vAlign w:val="center"/>
          </w:tcPr>
          <w:p w:rsidR="00057483" w:rsidRPr="00167CFC" w:rsidRDefault="00167CFC" w:rsidP="001F4D35">
            <w:pPr>
              <w:spacing w:before="20" w:after="20"/>
              <w:jc w:val="center"/>
              <w:rPr>
                <w:sz w:val="21"/>
                <w:szCs w:val="21"/>
              </w:rPr>
            </w:pPr>
            <w:r>
              <w:rPr>
                <w:sz w:val="21"/>
                <w:szCs w:val="21"/>
              </w:rPr>
              <w:t>17,0%</w:t>
            </w:r>
          </w:p>
        </w:tc>
        <w:tc>
          <w:tcPr>
            <w:tcW w:w="1361" w:type="dxa"/>
            <w:vAlign w:val="center"/>
          </w:tcPr>
          <w:p w:rsidR="00057483" w:rsidRPr="00313DF1" w:rsidRDefault="00057483" w:rsidP="001F4D35">
            <w:pPr>
              <w:spacing w:before="20" w:after="20"/>
              <w:jc w:val="center"/>
              <w:rPr>
                <w:sz w:val="21"/>
                <w:szCs w:val="21"/>
              </w:rPr>
            </w:pPr>
          </w:p>
        </w:tc>
        <w:tc>
          <w:tcPr>
            <w:tcW w:w="1361" w:type="dxa"/>
            <w:vAlign w:val="center"/>
          </w:tcPr>
          <w:p w:rsidR="00057483" w:rsidRPr="00313DF1" w:rsidRDefault="00057483" w:rsidP="001F4D35">
            <w:pPr>
              <w:spacing w:before="20" w:after="20"/>
              <w:jc w:val="center"/>
              <w:rPr>
                <w:sz w:val="21"/>
                <w:szCs w:val="21"/>
              </w:rPr>
            </w:pPr>
          </w:p>
        </w:tc>
      </w:tr>
      <w:tr w:rsidR="00057483" w:rsidRPr="0029403D" w:rsidTr="001F4D35">
        <w:trPr>
          <w:trHeight w:val="283"/>
        </w:trPr>
        <w:tc>
          <w:tcPr>
            <w:tcW w:w="2154" w:type="dxa"/>
          </w:tcPr>
          <w:p w:rsidR="00057483" w:rsidRPr="00037D1B" w:rsidRDefault="00057483" w:rsidP="001F4D35">
            <w:pPr>
              <w:spacing w:before="120"/>
              <w:rPr>
                <w:sz w:val="22"/>
                <w:szCs w:val="22"/>
              </w:rPr>
            </w:pPr>
            <w:r w:rsidRPr="00037D1B">
              <w:rPr>
                <w:sz w:val="22"/>
                <w:szCs w:val="22"/>
              </w:rPr>
              <w:t>Единый с/х налог</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790,1</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552,4</w:t>
            </w:r>
          </w:p>
        </w:tc>
        <w:tc>
          <w:tcPr>
            <w:tcW w:w="794" w:type="dxa"/>
            <w:vAlign w:val="center"/>
          </w:tcPr>
          <w:p w:rsidR="00057483" w:rsidRPr="00167CFC" w:rsidRDefault="00167CFC" w:rsidP="00313DF1">
            <w:pPr>
              <w:spacing w:before="40" w:after="40"/>
              <w:jc w:val="center"/>
              <w:rPr>
                <w:sz w:val="21"/>
                <w:szCs w:val="21"/>
              </w:rPr>
            </w:pPr>
            <w:r w:rsidRPr="00167CFC">
              <w:rPr>
                <w:sz w:val="21"/>
                <w:szCs w:val="21"/>
              </w:rPr>
              <w:t>1257,9</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54,9%</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45,5%</w:t>
            </w:r>
          </w:p>
        </w:tc>
        <w:tc>
          <w:tcPr>
            <w:tcW w:w="794" w:type="dxa"/>
            <w:vAlign w:val="center"/>
          </w:tcPr>
          <w:p w:rsidR="00057483" w:rsidRPr="00167CFC" w:rsidRDefault="00167CFC" w:rsidP="00313DF1">
            <w:pPr>
              <w:spacing w:before="40" w:after="40"/>
              <w:jc w:val="center"/>
              <w:rPr>
                <w:sz w:val="21"/>
                <w:szCs w:val="21"/>
              </w:rPr>
            </w:pPr>
            <w:r>
              <w:rPr>
                <w:sz w:val="21"/>
                <w:szCs w:val="21"/>
              </w:rPr>
              <w:t>50,4%</w:t>
            </w:r>
          </w:p>
        </w:tc>
        <w:tc>
          <w:tcPr>
            <w:tcW w:w="1361" w:type="dxa"/>
            <w:vAlign w:val="center"/>
          </w:tcPr>
          <w:p w:rsidR="001F4D35" w:rsidRDefault="00057483" w:rsidP="009A0A6D">
            <w:pPr>
              <w:jc w:val="center"/>
              <w:rPr>
                <w:sz w:val="21"/>
                <w:szCs w:val="21"/>
              </w:rPr>
            </w:pPr>
            <w:r>
              <w:rPr>
                <w:sz w:val="21"/>
                <w:szCs w:val="21"/>
              </w:rPr>
              <w:t>-237,7/</w:t>
            </w:r>
          </w:p>
          <w:p w:rsidR="00057483" w:rsidRPr="00313DF1" w:rsidRDefault="00057483" w:rsidP="009A0A6D">
            <w:pPr>
              <w:jc w:val="center"/>
              <w:rPr>
                <w:sz w:val="21"/>
                <w:szCs w:val="21"/>
              </w:rPr>
            </w:pPr>
            <w:r>
              <w:rPr>
                <w:sz w:val="21"/>
                <w:szCs w:val="21"/>
              </w:rPr>
              <w:t>-30,1%</w:t>
            </w:r>
          </w:p>
        </w:tc>
        <w:tc>
          <w:tcPr>
            <w:tcW w:w="1361" w:type="dxa"/>
            <w:vAlign w:val="center"/>
          </w:tcPr>
          <w:p w:rsidR="00057483" w:rsidRPr="00313DF1" w:rsidRDefault="00145862" w:rsidP="009A0A6D">
            <w:pPr>
              <w:jc w:val="center"/>
              <w:rPr>
                <w:sz w:val="21"/>
                <w:szCs w:val="21"/>
              </w:rPr>
            </w:pPr>
            <w:r>
              <w:rPr>
                <w:sz w:val="21"/>
                <w:szCs w:val="21"/>
              </w:rPr>
              <w:t xml:space="preserve">705,5 </w:t>
            </w:r>
            <w:r w:rsidR="00057483">
              <w:rPr>
                <w:sz w:val="21"/>
                <w:szCs w:val="21"/>
              </w:rPr>
              <w:t>/</w:t>
            </w:r>
            <w:r>
              <w:rPr>
                <w:sz w:val="21"/>
                <w:szCs w:val="21"/>
              </w:rPr>
              <w:t xml:space="preserve"> 127,7</w:t>
            </w:r>
            <w:r w:rsidR="00057483">
              <w:rPr>
                <w:sz w:val="21"/>
                <w:szCs w:val="21"/>
              </w:rPr>
              <w:t>%</w:t>
            </w:r>
          </w:p>
        </w:tc>
      </w:tr>
      <w:tr w:rsidR="00057483" w:rsidRPr="0029403D" w:rsidTr="001F4D35">
        <w:tc>
          <w:tcPr>
            <w:tcW w:w="2154" w:type="dxa"/>
          </w:tcPr>
          <w:p w:rsidR="00057483" w:rsidRPr="00037D1B" w:rsidRDefault="00057483" w:rsidP="00877B5F">
            <w:pPr>
              <w:rPr>
                <w:sz w:val="22"/>
                <w:szCs w:val="22"/>
              </w:rPr>
            </w:pPr>
            <w:r w:rsidRPr="00037D1B">
              <w:rPr>
                <w:sz w:val="22"/>
                <w:szCs w:val="22"/>
              </w:rPr>
              <w:t>Налог на имущество физических лиц</w:t>
            </w:r>
          </w:p>
        </w:tc>
        <w:tc>
          <w:tcPr>
            <w:tcW w:w="794" w:type="dxa"/>
            <w:vAlign w:val="center"/>
          </w:tcPr>
          <w:p w:rsidR="00057483" w:rsidRPr="00167CFC" w:rsidRDefault="00057483" w:rsidP="004537C6">
            <w:pPr>
              <w:jc w:val="center"/>
              <w:rPr>
                <w:sz w:val="21"/>
                <w:szCs w:val="21"/>
              </w:rPr>
            </w:pPr>
            <w:r w:rsidRPr="00167CFC">
              <w:rPr>
                <w:sz w:val="21"/>
                <w:szCs w:val="21"/>
              </w:rPr>
              <w:t>6,6</w:t>
            </w:r>
          </w:p>
        </w:tc>
        <w:tc>
          <w:tcPr>
            <w:tcW w:w="794" w:type="dxa"/>
            <w:vAlign w:val="center"/>
          </w:tcPr>
          <w:p w:rsidR="00057483" w:rsidRPr="00167CFC" w:rsidRDefault="00057483" w:rsidP="004537C6">
            <w:pPr>
              <w:jc w:val="center"/>
              <w:rPr>
                <w:sz w:val="21"/>
                <w:szCs w:val="21"/>
              </w:rPr>
            </w:pPr>
            <w:r w:rsidRPr="00167CFC">
              <w:rPr>
                <w:sz w:val="21"/>
                <w:szCs w:val="21"/>
              </w:rPr>
              <w:t>9,7</w:t>
            </w:r>
          </w:p>
        </w:tc>
        <w:tc>
          <w:tcPr>
            <w:tcW w:w="794" w:type="dxa"/>
            <w:vAlign w:val="center"/>
          </w:tcPr>
          <w:p w:rsidR="00057483" w:rsidRPr="00167CFC" w:rsidRDefault="00167CFC" w:rsidP="00877B5F">
            <w:pPr>
              <w:jc w:val="center"/>
              <w:rPr>
                <w:sz w:val="21"/>
                <w:szCs w:val="21"/>
              </w:rPr>
            </w:pPr>
            <w:r w:rsidRPr="00167CFC">
              <w:rPr>
                <w:sz w:val="21"/>
                <w:szCs w:val="21"/>
              </w:rPr>
              <w:t>9,0</w:t>
            </w:r>
          </w:p>
        </w:tc>
        <w:tc>
          <w:tcPr>
            <w:tcW w:w="794" w:type="dxa"/>
            <w:vAlign w:val="center"/>
          </w:tcPr>
          <w:p w:rsidR="00057483" w:rsidRPr="00167CFC" w:rsidRDefault="00057483" w:rsidP="004537C6">
            <w:pPr>
              <w:jc w:val="center"/>
              <w:rPr>
                <w:sz w:val="21"/>
                <w:szCs w:val="21"/>
              </w:rPr>
            </w:pPr>
            <w:r w:rsidRPr="00167CFC">
              <w:rPr>
                <w:sz w:val="21"/>
                <w:szCs w:val="21"/>
              </w:rPr>
              <w:t>0,5%</w:t>
            </w:r>
          </w:p>
        </w:tc>
        <w:tc>
          <w:tcPr>
            <w:tcW w:w="794" w:type="dxa"/>
            <w:vAlign w:val="center"/>
          </w:tcPr>
          <w:p w:rsidR="00057483" w:rsidRPr="00167CFC" w:rsidRDefault="00057483" w:rsidP="004537C6">
            <w:pPr>
              <w:jc w:val="center"/>
              <w:rPr>
                <w:sz w:val="21"/>
                <w:szCs w:val="21"/>
              </w:rPr>
            </w:pPr>
            <w:r w:rsidRPr="00167CFC">
              <w:rPr>
                <w:sz w:val="21"/>
                <w:szCs w:val="21"/>
              </w:rPr>
              <w:t>0,8%</w:t>
            </w:r>
          </w:p>
        </w:tc>
        <w:tc>
          <w:tcPr>
            <w:tcW w:w="794" w:type="dxa"/>
            <w:vAlign w:val="center"/>
          </w:tcPr>
          <w:p w:rsidR="00057483" w:rsidRPr="00167CFC" w:rsidRDefault="00167CFC" w:rsidP="00877B5F">
            <w:pPr>
              <w:jc w:val="center"/>
              <w:rPr>
                <w:sz w:val="21"/>
                <w:szCs w:val="21"/>
              </w:rPr>
            </w:pPr>
            <w:r>
              <w:rPr>
                <w:sz w:val="21"/>
                <w:szCs w:val="21"/>
              </w:rPr>
              <w:t>0,4%</w:t>
            </w:r>
          </w:p>
        </w:tc>
        <w:tc>
          <w:tcPr>
            <w:tcW w:w="1361" w:type="dxa"/>
            <w:vAlign w:val="center"/>
          </w:tcPr>
          <w:p w:rsidR="00057483" w:rsidRPr="00313DF1" w:rsidRDefault="00057483" w:rsidP="004537C6">
            <w:pPr>
              <w:jc w:val="center"/>
              <w:rPr>
                <w:sz w:val="21"/>
                <w:szCs w:val="21"/>
              </w:rPr>
            </w:pPr>
            <w:r>
              <w:rPr>
                <w:sz w:val="21"/>
                <w:szCs w:val="21"/>
              </w:rPr>
              <w:t>3,1 / 47,0%</w:t>
            </w:r>
          </w:p>
        </w:tc>
        <w:tc>
          <w:tcPr>
            <w:tcW w:w="1361" w:type="dxa"/>
            <w:vAlign w:val="center"/>
          </w:tcPr>
          <w:p w:rsidR="00057483" w:rsidRPr="00313DF1" w:rsidRDefault="00145862" w:rsidP="00145862">
            <w:pPr>
              <w:jc w:val="center"/>
              <w:rPr>
                <w:sz w:val="21"/>
                <w:szCs w:val="21"/>
              </w:rPr>
            </w:pPr>
            <w:r>
              <w:rPr>
                <w:sz w:val="21"/>
                <w:szCs w:val="21"/>
              </w:rPr>
              <w:t>-0,7</w:t>
            </w:r>
            <w:r w:rsidR="00057483">
              <w:rPr>
                <w:sz w:val="21"/>
                <w:szCs w:val="21"/>
              </w:rPr>
              <w:t xml:space="preserve"> / </w:t>
            </w:r>
            <w:r>
              <w:rPr>
                <w:sz w:val="21"/>
                <w:szCs w:val="21"/>
              </w:rPr>
              <w:t>-7,2</w:t>
            </w:r>
            <w:r w:rsidR="00057483">
              <w:rPr>
                <w:sz w:val="21"/>
                <w:szCs w:val="21"/>
              </w:rPr>
              <w:t>%</w:t>
            </w:r>
          </w:p>
        </w:tc>
      </w:tr>
      <w:tr w:rsidR="00057483" w:rsidRPr="0029403D" w:rsidTr="001F4D35">
        <w:trPr>
          <w:trHeight w:val="283"/>
        </w:trPr>
        <w:tc>
          <w:tcPr>
            <w:tcW w:w="2154" w:type="dxa"/>
          </w:tcPr>
          <w:p w:rsidR="00057483" w:rsidRPr="00037D1B" w:rsidRDefault="00057483" w:rsidP="001F4D35">
            <w:pPr>
              <w:spacing w:before="120"/>
              <w:jc w:val="both"/>
              <w:rPr>
                <w:sz w:val="22"/>
                <w:szCs w:val="22"/>
              </w:rPr>
            </w:pPr>
            <w:r w:rsidRPr="00037D1B">
              <w:rPr>
                <w:sz w:val="22"/>
                <w:szCs w:val="22"/>
              </w:rPr>
              <w:t>Земельный налог</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124,5</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63,6</w:t>
            </w:r>
          </w:p>
        </w:tc>
        <w:tc>
          <w:tcPr>
            <w:tcW w:w="794" w:type="dxa"/>
            <w:vAlign w:val="center"/>
          </w:tcPr>
          <w:p w:rsidR="00057483" w:rsidRPr="00167CFC" w:rsidRDefault="00167CFC" w:rsidP="00313DF1">
            <w:pPr>
              <w:spacing w:before="40" w:after="40"/>
              <w:jc w:val="center"/>
              <w:rPr>
                <w:sz w:val="21"/>
                <w:szCs w:val="21"/>
              </w:rPr>
            </w:pPr>
            <w:r w:rsidRPr="00167CFC">
              <w:rPr>
                <w:sz w:val="21"/>
                <w:szCs w:val="21"/>
              </w:rPr>
              <w:t>176,0</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8,7%</w:t>
            </w:r>
          </w:p>
        </w:tc>
        <w:tc>
          <w:tcPr>
            <w:tcW w:w="794" w:type="dxa"/>
            <w:vAlign w:val="center"/>
          </w:tcPr>
          <w:p w:rsidR="00057483" w:rsidRPr="00167CFC" w:rsidRDefault="00057483" w:rsidP="004537C6">
            <w:pPr>
              <w:spacing w:before="40" w:after="40"/>
              <w:jc w:val="center"/>
              <w:rPr>
                <w:sz w:val="21"/>
                <w:szCs w:val="21"/>
              </w:rPr>
            </w:pPr>
            <w:r w:rsidRPr="00167CFC">
              <w:rPr>
                <w:sz w:val="21"/>
                <w:szCs w:val="21"/>
              </w:rPr>
              <w:t>5,2%</w:t>
            </w:r>
          </w:p>
        </w:tc>
        <w:tc>
          <w:tcPr>
            <w:tcW w:w="794" w:type="dxa"/>
            <w:vAlign w:val="center"/>
          </w:tcPr>
          <w:p w:rsidR="00057483" w:rsidRPr="00167CFC" w:rsidRDefault="00167CFC" w:rsidP="00313DF1">
            <w:pPr>
              <w:spacing w:before="40" w:after="40"/>
              <w:jc w:val="center"/>
              <w:rPr>
                <w:sz w:val="21"/>
                <w:szCs w:val="21"/>
              </w:rPr>
            </w:pPr>
            <w:r>
              <w:rPr>
                <w:sz w:val="21"/>
                <w:szCs w:val="21"/>
              </w:rPr>
              <w:t>7,1%</w:t>
            </w:r>
          </w:p>
        </w:tc>
        <w:tc>
          <w:tcPr>
            <w:tcW w:w="1361" w:type="dxa"/>
            <w:vAlign w:val="center"/>
          </w:tcPr>
          <w:p w:rsidR="009A0A6D" w:rsidRDefault="00057483" w:rsidP="009A0A6D">
            <w:pPr>
              <w:jc w:val="center"/>
              <w:rPr>
                <w:sz w:val="21"/>
                <w:szCs w:val="21"/>
              </w:rPr>
            </w:pPr>
            <w:r>
              <w:rPr>
                <w:sz w:val="21"/>
                <w:szCs w:val="21"/>
              </w:rPr>
              <w:t xml:space="preserve">-60,9 / </w:t>
            </w:r>
          </w:p>
          <w:p w:rsidR="00057483" w:rsidRPr="00313DF1" w:rsidRDefault="00057483" w:rsidP="009A0A6D">
            <w:pPr>
              <w:jc w:val="center"/>
              <w:rPr>
                <w:sz w:val="21"/>
                <w:szCs w:val="21"/>
              </w:rPr>
            </w:pPr>
            <w:r>
              <w:rPr>
                <w:sz w:val="21"/>
                <w:szCs w:val="21"/>
              </w:rPr>
              <w:t>-48,9%</w:t>
            </w:r>
          </w:p>
        </w:tc>
        <w:tc>
          <w:tcPr>
            <w:tcW w:w="1361" w:type="dxa"/>
            <w:vAlign w:val="center"/>
          </w:tcPr>
          <w:p w:rsidR="00057483" w:rsidRPr="00313DF1" w:rsidRDefault="00145862" w:rsidP="009A0A6D">
            <w:pPr>
              <w:jc w:val="center"/>
              <w:rPr>
                <w:sz w:val="21"/>
                <w:szCs w:val="21"/>
              </w:rPr>
            </w:pPr>
            <w:r>
              <w:rPr>
                <w:sz w:val="21"/>
                <w:szCs w:val="21"/>
              </w:rPr>
              <w:t>112,4</w:t>
            </w:r>
            <w:r w:rsidR="00057483">
              <w:rPr>
                <w:sz w:val="21"/>
                <w:szCs w:val="21"/>
              </w:rPr>
              <w:t xml:space="preserve"> / </w:t>
            </w:r>
            <w:r>
              <w:rPr>
                <w:sz w:val="21"/>
                <w:szCs w:val="21"/>
              </w:rPr>
              <w:t>176,7</w:t>
            </w:r>
            <w:r w:rsidR="00057483">
              <w:rPr>
                <w:sz w:val="21"/>
                <w:szCs w:val="21"/>
              </w:rPr>
              <w:t>%</w:t>
            </w:r>
          </w:p>
        </w:tc>
      </w:tr>
      <w:tr w:rsidR="00057483" w:rsidRPr="0029403D" w:rsidTr="001F4D35">
        <w:trPr>
          <w:trHeight w:val="99"/>
        </w:trPr>
        <w:tc>
          <w:tcPr>
            <w:tcW w:w="2154" w:type="dxa"/>
          </w:tcPr>
          <w:p w:rsidR="00057483" w:rsidRPr="00037D1B" w:rsidRDefault="00057483" w:rsidP="001F4D35">
            <w:pPr>
              <w:spacing w:before="20" w:after="20"/>
              <w:jc w:val="both"/>
              <w:rPr>
                <w:sz w:val="22"/>
                <w:szCs w:val="22"/>
              </w:rPr>
            </w:pPr>
            <w:r>
              <w:rPr>
                <w:sz w:val="22"/>
                <w:szCs w:val="22"/>
              </w:rPr>
              <w:t>Госпошлина</w:t>
            </w:r>
          </w:p>
        </w:tc>
        <w:tc>
          <w:tcPr>
            <w:tcW w:w="794" w:type="dxa"/>
            <w:vAlign w:val="center"/>
          </w:tcPr>
          <w:p w:rsidR="00057483" w:rsidRPr="00167CFC" w:rsidRDefault="00057483" w:rsidP="001F4D35">
            <w:pPr>
              <w:spacing w:before="20" w:after="20"/>
              <w:jc w:val="center"/>
              <w:rPr>
                <w:sz w:val="21"/>
                <w:szCs w:val="21"/>
              </w:rPr>
            </w:pPr>
            <w:r w:rsidRPr="00167CFC">
              <w:rPr>
                <w:sz w:val="21"/>
                <w:szCs w:val="21"/>
              </w:rPr>
              <w:t>0,5</w:t>
            </w:r>
          </w:p>
        </w:tc>
        <w:tc>
          <w:tcPr>
            <w:tcW w:w="794" w:type="dxa"/>
            <w:vAlign w:val="center"/>
          </w:tcPr>
          <w:p w:rsidR="00057483" w:rsidRPr="00167CFC" w:rsidRDefault="00057483" w:rsidP="001F4D35">
            <w:pPr>
              <w:spacing w:before="20" w:after="20"/>
              <w:jc w:val="center"/>
              <w:rPr>
                <w:sz w:val="21"/>
                <w:szCs w:val="21"/>
              </w:rPr>
            </w:pPr>
            <w:r w:rsidRPr="00167CFC">
              <w:rPr>
                <w:sz w:val="21"/>
                <w:szCs w:val="21"/>
              </w:rPr>
              <w:t>1,9</w:t>
            </w:r>
          </w:p>
        </w:tc>
        <w:tc>
          <w:tcPr>
            <w:tcW w:w="794" w:type="dxa"/>
            <w:vAlign w:val="center"/>
          </w:tcPr>
          <w:p w:rsidR="00057483" w:rsidRPr="00167CFC" w:rsidRDefault="00057483" w:rsidP="001F4D35">
            <w:pPr>
              <w:spacing w:before="20" w:after="20"/>
              <w:jc w:val="center"/>
              <w:rPr>
                <w:sz w:val="21"/>
                <w:szCs w:val="21"/>
              </w:rPr>
            </w:pPr>
          </w:p>
        </w:tc>
        <w:tc>
          <w:tcPr>
            <w:tcW w:w="794" w:type="dxa"/>
            <w:vAlign w:val="center"/>
          </w:tcPr>
          <w:p w:rsidR="00057483" w:rsidRPr="00167CFC" w:rsidRDefault="00057483" w:rsidP="001F4D35">
            <w:pPr>
              <w:spacing w:before="20" w:after="20"/>
              <w:jc w:val="center"/>
              <w:rPr>
                <w:sz w:val="21"/>
                <w:szCs w:val="21"/>
              </w:rPr>
            </w:pPr>
            <w:r w:rsidRPr="00167CFC">
              <w:rPr>
                <w:sz w:val="21"/>
                <w:szCs w:val="21"/>
              </w:rPr>
              <w:t>0,0%</w:t>
            </w:r>
          </w:p>
        </w:tc>
        <w:tc>
          <w:tcPr>
            <w:tcW w:w="794" w:type="dxa"/>
            <w:vAlign w:val="center"/>
          </w:tcPr>
          <w:p w:rsidR="00057483" w:rsidRPr="00167CFC" w:rsidRDefault="00057483" w:rsidP="001F4D35">
            <w:pPr>
              <w:spacing w:before="20" w:after="20"/>
              <w:jc w:val="center"/>
              <w:rPr>
                <w:sz w:val="21"/>
                <w:szCs w:val="21"/>
              </w:rPr>
            </w:pPr>
            <w:r w:rsidRPr="00167CFC">
              <w:rPr>
                <w:sz w:val="21"/>
                <w:szCs w:val="21"/>
              </w:rPr>
              <w:t>0,2%</w:t>
            </w:r>
          </w:p>
        </w:tc>
        <w:tc>
          <w:tcPr>
            <w:tcW w:w="794" w:type="dxa"/>
            <w:vAlign w:val="center"/>
          </w:tcPr>
          <w:p w:rsidR="00057483" w:rsidRPr="00167CFC" w:rsidRDefault="00057483" w:rsidP="001F4D35">
            <w:pPr>
              <w:spacing w:before="20" w:after="20"/>
              <w:jc w:val="center"/>
              <w:rPr>
                <w:sz w:val="21"/>
                <w:szCs w:val="21"/>
              </w:rPr>
            </w:pPr>
          </w:p>
        </w:tc>
        <w:tc>
          <w:tcPr>
            <w:tcW w:w="1361" w:type="dxa"/>
            <w:vAlign w:val="center"/>
          </w:tcPr>
          <w:p w:rsidR="00057483" w:rsidRPr="00313DF1" w:rsidRDefault="00057483" w:rsidP="001F4D35">
            <w:pPr>
              <w:spacing w:before="20" w:after="20"/>
              <w:jc w:val="center"/>
              <w:rPr>
                <w:sz w:val="21"/>
                <w:szCs w:val="21"/>
              </w:rPr>
            </w:pPr>
            <w:r>
              <w:rPr>
                <w:sz w:val="21"/>
                <w:szCs w:val="21"/>
              </w:rPr>
              <w:t>1,4 / 3,8 раз</w:t>
            </w:r>
          </w:p>
        </w:tc>
        <w:tc>
          <w:tcPr>
            <w:tcW w:w="1361" w:type="dxa"/>
            <w:vAlign w:val="center"/>
          </w:tcPr>
          <w:p w:rsidR="00057483" w:rsidRPr="00313DF1" w:rsidRDefault="00057483" w:rsidP="001F4D35">
            <w:pPr>
              <w:spacing w:before="20" w:after="20"/>
              <w:jc w:val="center"/>
              <w:rPr>
                <w:sz w:val="21"/>
                <w:szCs w:val="21"/>
              </w:rPr>
            </w:pPr>
          </w:p>
        </w:tc>
      </w:tr>
      <w:tr w:rsidR="00057483" w:rsidRPr="0029403D" w:rsidTr="001F4D35">
        <w:tc>
          <w:tcPr>
            <w:tcW w:w="2154" w:type="dxa"/>
          </w:tcPr>
          <w:p w:rsidR="00057483" w:rsidRPr="00037D1B" w:rsidRDefault="00057483" w:rsidP="00877B5F">
            <w:pPr>
              <w:rPr>
                <w:b/>
                <w:sz w:val="22"/>
                <w:szCs w:val="22"/>
              </w:rPr>
            </w:pPr>
            <w:r w:rsidRPr="00037D1B">
              <w:rPr>
                <w:b/>
                <w:sz w:val="22"/>
                <w:szCs w:val="22"/>
              </w:rPr>
              <w:t>Итого налоговых доходов</w:t>
            </w:r>
          </w:p>
        </w:tc>
        <w:tc>
          <w:tcPr>
            <w:tcW w:w="794" w:type="dxa"/>
            <w:vAlign w:val="center"/>
          </w:tcPr>
          <w:p w:rsidR="00057483" w:rsidRPr="00313DF1" w:rsidRDefault="00057483" w:rsidP="004537C6">
            <w:pPr>
              <w:jc w:val="center"/>
              <w:rPr>
                <w:b/>
                <w:sz w:val="21"/>
                <w:szCs w:val="21"/>
              </w:rPr>
            </w:pPr>
            <w:r w:rsidRPr="00313DF1">
              <w:rPr>
                <w:b/>
                <w:sz w:val="21"/>
                <w:szCs w:val="21"/>
              </w:rPr>
              <w:t>1438,5</w:t>
            </w:r>
          </w:p>
        </w:tc>
        <w:tc>
          <w:tcPr>
            <w:tcW w:w="794" w:type="dxa"/>
            <w:vAlign w:val="center"/>
          </w:tcPr>
          <w:p w:rsidR="00057483" w:rsidRPr="00313DF1" w:rsidRDefault="00057483" w:rsidP="004537C6">
            <w:pPr>
              <w:jc w:val="center"/>
              <w:rPr>
                <w:b/>
                <w:sz w:val="21"/>
                <w:szCs w:val="21"/>
              </w:rPr>
            </w:pPr>
            <w:r>
              <w:rPr>
                <w:b/>
                <w:sz w:val="21"/>
                <w:szCs w:val="21"/>
              </w:rPr>
              <w:t>1215,0</w:t>
            </w:r>
          </w:p>
        </w:tc>
        <w:tc>
          <w:tcPr>
            <w:tcW w:w="794" w:type="dxa"/>
            <w:vAlign w:val="center"/>
          </w:tcPr>
          <w:p w:rsidR="00057483" w:rsidRPr="00313DF1" w:rsidRDefault="00167CFC" w:rsidP="00877B5F">
            <w:pPr>
              <w:jc w:val="center"/>
              <w:rPr>
                <w:b/>
                <w:sz w:val="21"/>
                <w:szCs w:val="21"/>
              </w:rPr>
            </w:pPr>
            <w:r>
              <w:rPr>
                <w:b/>
                <w:sz w:val="21"/>
                <w:szCs w:val="21"/>
              </w:rPr>
              <w:t>2495,2</w:t>
            </w:r>
          </w:p>
        </w:tc>
        <w:tc>
          <w:tcPr>
            <w:tcW w:w="794" w:type="dxa"/>
            <w:vAlign w:val="center"/>
          </w:tcPr>
          <w:p w:rsidR="00057483" w:rsidRPr="00037D1B" w:rsidRDefault="00057483" w:rsidP="00877B5F">
            <w:pPr>
              <w:jc w:val="center"/>
              <w:rPr>
                <w:b/>
                <w:sz w:val="22"/>
                <w:szCs w:val="22"/>
              </w:rPr>
            </w:pPr>
            <w:r w:rsidRPr="00037D1B">
              <w:rPr>
                <w:b/>
                <w:sz w:val="22"/>
                <w:szCs w:val="22"/>
              </w:rPr>
              <w:t>100%</w:t>
            </w:r>
          </w:p>
        </w:tc>
        <w:tc>
          <w:tcPr>
            <w:tcW w:w="794" w:type="dxa"/>
            <w:vAlign w:val="center"/>
          </w:tcPr>
          <w:p w:rsidR="00057483" w:rsidRPr="00037D1B" w:rsidRDefault="00057483" w:rsidP="00877B5F">
            <w:pPr>
              <w:jc w:val="center"/>
              <w:rPr>
                <w:b/>
                <w:sz w:val="22"/>
                <w:szCs w:val="22"/>
              </w:rPr>
            </w:pPr>
            <w:r w:rsidRPr="00037D1B">
              <w:rPr>
                <w:b/>
                <w:sz w:val="22"/>
                <w:szCs w:val="22"/>
              </w:rPr>
              <w:t>100%</w:t>
            </w:r>
          </w:p>
        </w:tc>
        <w:tc>
          <w:tcPr>
            <w:tcW w:w="794" w:type="dxa"/>
            <w:vAlign w:val="center"/>
          </w:tcPr>
          <w:p w:rsidR="00057483" w:rsidRPr="00037D1B" w:rsidRDefault="00057483" w:rsidP="00877B5F">
            <w:pPr>
              <w:jc w:val="center"/>
              <w:rPr>
                <w:b/>
                <w:sz w:val="22"/>
                <w:szCs w:val="22"/>
              </w:rPr>
            </w:pPr>
            <w:r w:rsidRPr="00037D1B">
              <w:rPr>
                <w:b/>
                <w:sz w:val="22"/>
                <w:szCs w:val="22"/>
              </w:rPr>
              <w:t>100%</w:t>
            </w:r>
          </w:p>
        </w:tc>
        <w:tc>
          <w:tcPr>
            <w:tcW w:w="1361" w:type="dxa"/>
            <w:vAlign w:val="center"/>
          </w:tcPr>
          <w:p w:rsidR="00057483" w:rsidRDefault="00057483" w:rsidP="004537C6">
            <w:pPr>
              <w:jc w:val="center"/>
              <w:rPr>
                <w:b/>
                <w:sz w:val="21"/>
                <w:szCs w:val="21"/>
              </w:rPr>
            </w:pPr>
            <w:r>
              <w:rPr>
                <w:b/>
                <w:sz w:val="21"/>
                <w:szCs w:val="21"/>
              </w:rPr>
              <w:t xml:space="preserve">-223,5 / </w:t>
            </w:r>
          </w:p>
          <w:p w:rsidR="00057483" w:rsidRPr="00313DF1" w:rsidRDefault="00057483" w:rsidP="004537C6">
            <w:pPr>
              <w:jc w:val="center"/>
              <w:rPr>
                <w:b/>
                <w:sz w:val="21"/>
                <w:szCs w:val="21"/>
              </w:rPr>
            </w:pPr>
            <w:r>
              <w:rPr>
                <w:b/>
                <w:sz w:val="21"/>
                <w:szCs w:val="21"/>
              </w:rPr>
              <w:t>-15,5%</w:t>
            </w:r>
          </w:p>
        </w:tc>
        <w:tc>
          <w:tcPr>
            <w:tcW w:w="1361" w:type="dxa"/>
            <w:vAlign w:val="center"/>
          </w:tcPr>
          <w:p w:rsidR="00057483" w:rsidRDefault="004E5F3D" w:rsidP="00844AF4">
            <w:pPr>
              <w:jc w:val="center"/>
              <w:rPr>
                <w:b/>
                <w:sz w:val="21"/>
                <w:szCs w:val="21"/>
              </w:rPr>
            </w:pPr>
            <w:r>
              <w:rPr>
                <w:b/>
                <w:sz w:val="21"/>
                <w:szCs w:val="21"/>
              </w:rPr>
              <w:t>1280,2</w:t>
            </w:r>
            <w:r w:rsidR="00057483">
              <w:rPr>
                <w:b/>
                <w:sz w:val="21"/>
                <w:szCs w:val="21"/>
              </w:rPr>
              <w:t xml:space="preserve"> / </w:t>
            </w:r>
          </w:p>
          <w:p w:rsidR="00057483" w:rsidRPr="00313DF1" w:rsidRDefault="004E5F3D" w:rsidP="00844AF4">
            <w:pPr>
              <w:jc w:val="center"/>
              <w:rPr>
                <w:b/>
                <w:sz w:val="21"/>
                <w:szCs w:val="21"/>
              </w:rPr>
            </w:pPr>
            <w:r>
              <w:rPr>
                <w:b/>
                <w:sz w:val="21"/>
                <w:szCs w:val="21"/>
              </w:rPr>
              <w:t>105,4</w:t>
            </w:r>
            <w:r w:rsidR="00057483">
              <w:rPr>
                <w:b/>
                <w:sz w:val="21"/>
                <w:szCs w:val="21"/>
              </w:rPr>
              <w:t>%</w:t>
            </w:r>
          </w:p>
        </w:tc>
      </w:tr>
    </w:tbl>
    <w:p w:rsidR="00057483" w:rsidRDefault="00057483" w:rsidP="00057483">
      <w:pPr>
        <w:spacing w:before="120"/>
        <w:ind w:firstLine="567"/>
        <w:jc w:val="both"/>
        <w:rPr>
          <w:bCs/>
          <w:iCs/>
        </w:rPr>
      </w:pPr>
      <w:r>
        <w:rPr>
          <w:bCs/>
          <w:iCs/>
        </w:rPr>
        <w:lastRenderedPageBreak/>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009A0A6D">
        <w:rPr>
          <w:bCs/>
          <w:iCs/>
        </w:rPr>
        <w:t>, а также увелич</w:t>
      </w:r>
      <w:r w:rsidR="009A0A6D">
        <w:rPr>
          <w:bCs/>
          <w:iCs/>
        </w:rPr>
        <w:t>е</w:t>
      </w:r>
      <w:r w:rsidR="009A0A6D">
        <w:rPr>
          <w:bCs/>
          <w:iCs/>
        </w:rPr>
        <w:t>нием поступлений единого сельскохозяйственного налога.</w:t>
      </w:r>
    </w:p>
    <w:p w:rsidR="00551F5B" w:rsidRDefault="00551F5B" w:rsidP="00D27A12">
      <w:pPr>
        <w:spacing w:before="18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99504D">
        <w:rPr>
          <w:bCs/>
          <w:iCs/>
        </w:rPr>
        <w:t>2015</w:t>
      </w:r>
      <w:r w:rsidRPr="0042298A">
        <w:rPr>
          <w:bCs/>
          <w:iCs/>
        </w:rPr>
        <w:t xml:space="preserve"> год исполнены в объеме </w:t>
      </w:r>
      <w:r w:rsidR="00E7329A">
        <w:rPr>
          <w:bCs/>
          <w:iCs/>
        </w:rPr>
        <w:t>19,5</w:t>
      </w:r>
      <w:r w:rsidRPr="0042298A">
        <w:rPr>
          <w:bCs/>
          <w:iCs/>
        </w:rPr>
        <w:t xml:space="preserve"> тыс. руб. или </w:t>
      </w:r>
      <w:r w:rsidR="00A910DC">
        <w:rPr>
          <w:bCs/>
          <w:iCs/>
        </w:rPr>
        <w:t>1</w:t>
      </w:r>
      <w:r w:rsidR="00AB167E">
        <w:rPr>
          <w:bCs/>
          <w:iCs/>
        </w:rPr>
        <w:t>00</w:t>
      </w:r>
      <w:r w:rsidRPr="0042298A">
        <w:rPr>
          <w:bCs/>
          <w:iCs/>
        </w:rPr>
        <w:t>% от плановых назначений</w:t>
      </w:r>
      <w:r w:rsidRPr="0042298A">
        <w:t>.</w:t>
      </w:r>
      <w:r w:rsidR="005A1A14" w:rsidRPr="0042298A">
        <w:t xml:space="preserve"> </w:t>
      </w:r>
    </w:p>
    <w:p w:rsidR="00350957" w:rsidRDefault="00350957" w:rsidP="00D27A12">
      <w:pPr>
        <w:spacing w:before="60"/>
        <w:ind w:firstLine="567"/>
        <w:jc w:val="both"/>
      </w:pPr>
      <w:r w:rsidRPr="0029403D">
        <w:t xml:space="preserve">Подробный анализ поступления </w:t>
      </w:r>
      <w:r>
        <w:t>не</w:t>
      </w:r>
      <w:r w:rsidRPr="0029403D">
        <w:t xml:space="preserve">налоговых доходов представлен в таблице </w:t>
      </w:r>
      <w:r>
        <w:t>2</w:t>
      </w:r>
      <w:r w:rsidRPr="0029403D">
        <w:t>.</w:t>
      </w:r>
    </w:p>
    <w:p w:rsidR="00350957" w:rsidRPr="000D210C" w:rsidRDefault="00350957" w:rsidP="00350957">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37"/>
        <w:gridCol w:w="737"/>
        <w:gridCol w:w="737"/>
        <w:gridCol w:w="794"/>
        <w:gridCol w:w="794"/>
        <w:gridCol w:w="794"/>
        <w:gridCol w:w="1474"/>
        <w:gridCol w:w="1474"/>
      </w:tblGrid>
      <w:tr w:rsidR="00350957" w:rsidRPr="0029403D" w:rsidTr="00350957">
        <w:trPr>
          <w:trHeight w:val="528"/>
        </w:trPr>
        <w:tc>
          <w:tcPr>
            <w:tcW w:w="2103" w:type="dxa"/>
            <w:vMerge w:val="restart"/>
            <w:vAlign w:val="center"/>
          </w:tcPr>
          <w:p w:rsidR="00350957" w:rsidRPr="0029403D" w:rsidRDefault="00350957" w:rsidP="00350957">
            <w:pPr>
              <w:rPr>
                <w:i/>
                <w:sz w:val="20"/>
                <w:szCs w:val="20"/>
              </w:rPr>
            </w:pPr>
            <w:r w:rsidRPr="0029403D">
              <w:rPr>
                <w:i/>
                <w:sz w:val="20"/>
                <w:szCs w:val="20"/>
              </w:rPr>
              <w:t>Наименования дохода</w:t>
            </w:r>
          </w:p>
        </w:tc>
        <w:tc>
          <w:tcPr>
            <w:tcW w:w="2211" w:type="dxa"/>
            <w:gridSpan w:val="3"/>
            <w:vAlign w:val="center"/>
          </w:tcPr>
          <w:p w:rsidR="00350957" w:rsidRPr="0029403D" w:rsidRDefault="00350957" w:rsidP="00350957">
            <w:pPr>
              <w:jc w:val="center"/>
              <w:rPr>
                <w:i/>
                <w:sz w:val="20"/>
                <w:szCs w:val="20"/>
              </w:rPr>
            </w:pPr>
            <w:r w:rsidRPr="0029403D">
              <w:rPr>
                <w:i/>
                <w:sz w:val="20"/>
                <w:szCs w:val="20"/>
              </w:rPr>
              <w:t>Исполнение бюджета</w:t>
            </w:r>
          </w:p>
        </w:tc>
        <w:tc>
          <w:tcPr>
            <w:tcW w:w="2382" w:type="dxa"/>
            <w:gridSpan w:val="3"/>
          </w:tcPr>
          <w:p w:rsidR="00350957" w:rsidRPr="0029403D" w:rsidRDefault="00350957" w:rsidP="00350957">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2948" w:type="dxa"/>
            <w:gridSpan w:val="2"/>
            <w:vAlign w:val="center"/>
          </w:tcPr>
          <w:p w:rsidR="00350957" w:rsidRPr="0029403D" w:rsidRDefault="00350957" w:rsidP="00350957">
            <w:pPr>
              <w:jc w:val="center"/>
              <w:rPr>
                <w:i/>
                <w:sz w:val="20"/>
                <w:szCs w:val="20"/>
              </w:rPr>
            </w:pPr>
            <w:r w:rsidRPr="0029403D">
              <w:rPr>
                <w:i/>
                <w:sz w:val="20"/>
                <w:szCs w:val="20"/>
              </w:rPr>
              <w:t>Абсолютный прирост (тыс. руб./проценты)</w:t>
            </w:r>
          </w:p>
        </w:tc>
      </w:tr>
      <w:tr w:rsidR="00350957" w:rsidRPr="0029403D" w:rsidTr="00A910DC">
        <w:trPr>
          <w:trHeight w:val="301"/>
        </w:trPr>
        <w:tc>
          <w:tcPr>
            <w:tcW w:w="2103" w:type="dxa"/>
            <w:vMerge/>
            <w:vAlign w:val="center"/>
          </w:tcPr>
          <w:p w:rsidR="00350957" w:rsidRPr="0029403D" w:rsidRDefault="00350957" w:rsidP="00350957">
            <w:pPr>
              <w:rPr>
                <w:i/>
                <w:sz w:val="20"/>
                <w:szCs w:val="20"/>
              </w:rPr>
            </w:pPr>
          </w:p>
        </w:tc>
        <w:tc>
          <w:tcPr>
            <w:tcW w:w="737" w:type="dxa"/>
            <w:vAlign w:val="center"/>
          </w:tcPr>
          <w:p w:rsidR="00350957" w:rsidRPr="0029403D" w:rsidRDefault="0099504D" w:rsidP="00350957">
            <w:pPr>
              <w:jc w:val="center"/>
              <w:rPr>
                <w:i/>
                <w:sz w:val="20"/>
                <w:szCs w:val="20"/>
              </w:rPr>
            </w:pPr>
            <w:r>
              <w:rPr>
                <w:i/>
                <w:sz w:val="20"/>
                <w:szCs w:val="20"/>
              </w:rPr>
              <w:t>2013</w:t>
            </w:r>
          </w:p>
        </w:tc>
        <w:tc>
          <w:tcPr>
            <w:tcW w:w="737" w:type="dxa"/>
            <w:vAlign w:val="center"/>
          </w:tcPr>
          <w:p w:rsidR="00350957" w:rsidRPr="0029403D" w:rsidRDefault="0099504D" w:rsidP="00350957">
            <w:pPr>
              <w:jc w:val="center"/>
              <w:rPr>
                <w:i/>
                <w:sz w:val="20"/>
                <w:szCs w:val="20"/>
              </w:rPr>
            </w:pPr>
            <w:r>
              <w:rPr>
                <w:i/>
                <w:sz w:val="20"/>
                <w:szCs w:val="20"/>
              </w:rPr>
              <w:t>2014</w:t>
            </w:r>
          </w:p>
        </w:tc>
        <w:tc>
          <w:tcPr>
            <w:tcW w:w="737" w:type="dxa"/>
            <w:vAlign w:val="center"/>
          </w:tcPr>
          <w:p w:rsidR="00350957" w:rsidRPr="0029403D" w:rsidRDefault="0099504D" w:rsidP="00350957">
            <w:pPr>
              <w:jc w:val="center"/>
              <w:rPr>
                <w:i/>
                <w:sz w:val="20"/>
                <w:szCs w:val="20"/>
              </w:rPr>
            </w:pPr>
            <w:r>
              <w:rPr>
                <w:i/>
                <w:sz w:val="20"/>
                <w:szCs w:val="20"/>
              </w:rPr>
              <w:t>2015</w:t>
            </w:r>
          </w:p>
        </w:tc>
        <w:tc>
          <w:tcPr>
            <w:tcW w:w="794" w:type="dxa"/>
            <w:vAlign w:val="center"/>
          </w:tcPr>
          <w:p w:rsidR="00350957" w:rsidRPr="0029403D" w:rsidRDefault="0099504D" w:rsidP="00350957">
            <w:pPr>
              <w:jc w:val="center"/>
              <w:rPr>
                <w:i/>
                <w:sz w:val="20"/>
                <w:szCs w:val="20"/>
              </w:rPr>
            </w:pPr>
            <w:r>
              <w:rPr>
                <w:i/>
                <w:sz w:val="20"/>
                <w:szCs w:val="20"/>
              </w:rPr>
              <w:t>2013</w:t>
            </w:r>
          </w:p>
        </w:tc>
        <w:tc>
          <w:tcPr>
            <w:tcW w:w="794" w:type="dxa"/>
            <w:vAlign w:val="center"/>
          </w:tcPr>
          <w:p w:rsidR="00350957" w:rsidRPr="0029403D" w:rsidRDefault="0099504D" w:rsidP="00350957">
            <w:pPr>
              <w:jc w:val="center"/>
              <w:rPr>
                <w:i/>
                <w:sz w:val="20"/>
                <w:szCs w:val="20"/>
              </w:rPr>
            </w:pPr>
            <w:r>
              <w:rPr>
                <w:i/>
                <w:sz w:val="20"/>
                <w:szCs w:val="20"/>
              </w:rPr>
              <w:t>2014</w:t>
            </w:r>
          </w:p>
        </w:tc>
        <w:tc>
          <w:tcPr>
            <w:tcW w:w="794" w:type="dxa"/>
            <w:vAlign w:val="center"/>
          </w:tcPr>
          <w:p w:rsidR="00350957" w:rsidRPr="0029403D" w:rsidRDefault="0099504D" w:rsidP="00350957">
            <w:pPr>
              <w:jc w:val="center"/>
              <w:rPr>
                <w:i/>
                <w:sz w:val="20"/>
                <w:szCs w:val="20"/>
              </w:rPr>
            </w:pPr>
            <w:r>
              <w:rPr>
                <w:i/>
                <w:sz w:val="20"/>
                <w:szCs w:val="20"/>
              </w:rPr>
              <w:t>2015</w:t>
            </w:r>
          </w:p>
        </w:tc>
        <w:tc>
          <w:tcPr>
            <w:tcW w:w="1474" w:type="dxa"/>
            <w:vAlign w:val="center"/>
          </w:tcPr>
          <w:p w:rsidR="00350957" w:rsidRPr="0029403D" w:rsidRDefault="0099504D" w:rsidP="00350957">
            <w:pPr>
              <w:jc w:val="center"/>
              <w:rPr>
                <w:i/>
                <w:sz w:val="20"/>
                <w:szCs w:val="20"/>
              </w:rPr>
            </w:pPr>
            <w:r>
              <w:rPr>
                <w:i/>
                <w:sz w:val="20"/>
                <w:szCs w:val="20"/>
              </w:rPr>
              <w:t>2014</w:t>
            </w:r>
            <w:r w:rsidR="00350957">
              <w:rPr>
                <w:i/>
                <w:sz w:val="20"/>
                <w:szCs w:val="20"/>
              </w:rPr>
              <w:t xml:space="preserve"> к </w:t>
            </w:r>
            <w:r>
              <w:rPr>
                <w:i/>
                <w:sz w:val="20"/>
                <w:szCs w:val="20"/>
              </w:rPr>
              <w:t>2013</w:t>
            </w:r>
          </w:p>
        </w:tc>
        <w:tc>
          <w:tcPr>
            <w:tcW w:w="1474" w:type="dxa"/>
            <w:vAlign w:val="center"/>
          </w:tcPr>
          <w:p w:rsidR="00350957" w:rsidRPr="0029403D" w:rsidRDefault="0099504D" w:rsidP="00350957">
            <w:pPr>
              <w:jc w:val="center"/>
              <w:rPr>
                <w:i/>
                <w:sz w:val="20"/>
                <w:szCs w:val="20"/>
              </w:rPr>
            </w:pPr>
            <w:r>
              <w:rPr>
                <w:i/>
                <w:sz w:val="20"/>
                <w:szCs w:val="20"/>
              </w:rPr>
              <w:t>2015</w:t>
            </w:r>
            <w:r w:rsidR="00350957">
              <w:rPr>
                <w:i/>
                <w:sz w:val="20"/>
                <w:szCs w:val="20"/>
              </w:rPr>
              <w:t xml:space="preserve"> к </w:t>
            </w:r>
            <w:r>
              <w:rPr>
                <w:i/>
                <w:sz w:val="20"/>
                <w:szCs w:val="20"/>
              </w:rPr>
              <w:t>2014</w:t>
            </w:r>
          </w:p>
        </w:tc>
      </w:tr>
      <w:tr w:rsidR="00E7329A" w:rsidRPr="00D452D7" w:rsidTr="00A910DC">
        <w:trPr>
          <w:trHeight w:val="109"/>
        </w:trPr>
        <w:tc>
          <w:tcPr>
            <w:tcW w:w="2103" w:type="dxa"/>
            <w:vAlign w:val="center"/>
          </w:tcPr>
          <w:p w:rsidR="00E7329A" w:rsidRPr="00D452D7" w:rsidRDefault="00E7329A" w:rsidP="00350957">
            <w:pPr>
              <w:spacing w:before="40" w:after="40"/>
              <w:rPr>
                <w:sz w:val="22"/>
                <w:szCs w:val="22"/>
              </w:rPr>
            </w:pPr>
            <w:r>
              <w:rPr>
                <w:sz w:val="22"/>
                <w:szCs w:val="22"/>
              </w:rPr>
              <w:t>Аренда земли</w:t>
            </w:r>
          </w:p>
        </w:tc>
        <w:tc>
          <w:tcPr>
            <w:tcW w:w="737" w:type="dxa"/>
            <w:vAlign w:val="center"/>
          </w:tcPr>
          <w:p w:rsidR="00E7329A" w:rsidRPr="00F12520" w:rsidRDefault="00E7329A" w:rsidP="004537C6">
            <w:pPr>
              <w:spacing w:before="40" w:after="40"/>
              <w:jc w:val="center"/>
              <w:rPr>
                <w:sz w:val="22"/>
                <w:szCs w:val="22"/>
              </w:rPr>
            </w:pPr>
            <w:r>
              <w:rPr>
                <w:sz w:val="22"/>
                <w:szCs w:val="22"/>
              </w:rPr>
              <w:t>89,9</w:t>
            </w:r>
          </w:p>
        </w:tc>
        <w:tc>
          <w:tcPr>
            <w:tcW w:w="737" w:type="dxa"/>
            <w:vAlign w:val="center"/>
          </w:tcPr>
          <w:p w:rsidR="00E7329A" w:rsidRPr="00F12520" w:rsidRDefault="00E7329A" w:rsidP="004537C6">
            <w:pPr>
              <w:spacing w:before="40" w:after="40"/>
              <w:jc w:val="center"/>
              <w:rPr>
                <w:sz w:val="22"/>
                <w:szCs w:val="22"/>
              </w:rPr>
            </w:pPr>
            <w:r>
              <w:rPr>
                <w:sz w:val="22"/>
                <w:szCs w:val="22"/>
              </w:rPr>
              <w:t>34,1</w:t>
            </w:r>
          </w:p>
        </w:tc>
        <w:tc>
          <w:tcPr>
            <w:tcW w:w="737" w:type="dxa"/>
            <w:vAlign w:val="center"/>
          </w:tcPr>
          <w:p w:rsidR="00E7329A" w:rsidRPr="00F12520" w:rsidRDefault="00E7329A" w:rsidP="00350957">
            <w:pPr>
              <w:spacing w:before="40" w:after="40"/>
              <w:jc w:val="center"/>
              <w:rPr>
                <w:sz w:val="22"/>
                <w:szCs w:val="22"/>
              </w:rPr>
            </w:pPr>
          </w:p>
        </w:tc>
        <w:tc>
          <w:tcPr>
            <w:tcW w:w="794" w:type="dxa"/>
            <w:vAlign w:val="center"/>
          </w:tcPr>
          <w:p w:rsidR="00E7329A" w:rsidRPr="00F12520" w:rsidRDefault="00E7329A" w:rsidP="004537C6">
            <w:pPr>
              <w:spacing w:before="40" w:after="40"/>
              <w:jc w:val="center"/>
              <w:rPr>
                <w:sz w:val="22"/>
                <w:szCs w:val="22"/>
              </w:rPr>
            </w:pPr>
            <w:r>
              <w:rPr>
                <w:sz w:val="22"/>
                <w:szCs w:val="22"/>
              </w:rPr>
              <w:t>73,3%</w:t>
            </w:r>
          </w:p>
        </w:tc>
        <w:tc>
          <w:tcPr>
            <w:tcW w:w="794" w:type="dxa"/>
            <w:vAlign w:val="center"/>
          </w:tcPr>
          <w:p w:rsidR="00E7329A" w:rsidRPr="00F12520" w:rsidRDefault="00E7329A" w:rsidP="004537C6">
            <w:pPr>
              <w:spacing w:before="40" w:after="40"/>
              <w:jc w:val="center"/>
              <w:rPr>
                <w:sz w:val="22"/>
                <w:szCs w:val="22"/>
              </w:rPr>
            </w:pPr>
            <w:r>
              <w:rPr>
                <w:sz w:val="22"/>
                <w:szCs w:val="22"/>
              </w:rPr>
              <w:t>18,9%</w:t>
            </w:r>
          </w:p>
        </w:tc>
        <w:tc>
          <w:tcPr>
            <w:tcW w:w="794" w:type="dxa"/>
            <w:vAlign w:val="center"/>
          </w:tcPr>
          <w:p w:rsidR="00E7329A" w:rsidRPr="00F12520" w:rsidRDefault="00E7329A" w:rsidP="00350957">
            <w:pPr>
              <w:spacing w:before="40" w:after="40"/>
              <w:jc w:val="center"/>
              <w:rPr>
                <w:sz w:val="22"/>
                <w:szCs w:val="22"/>
              </w:rPr>
            </w:pPr>
          </w:p>
        </w:tc>
        <w:tc>
          <w:tcPr>
            <w:tcW w:w="1474" w:type="dxa"/>
            <w:vAlign w:val="center"/>
          </w:tcPr>
          <w:p w:rsidR="00E7329A" w:rsidRPr="0080250D" w:rsidRDefault="00E7329A" w:rsidP="004537C6">
            <w:pPr>
              <w:spacing w:before="40" w:after="40"/>
              <w:jc w:val="center"/>
              <w:rPr>
                <w:sz w:val="22"/>
                <w:szCs w:val="22"/>
              </w:rPr>
            </w:pPr>
            <w:r w:rsidRPr="0080250D">
              <w:rPr>
                <w:sz w:val="22"/>
                <w:szCs w:val="22"/>
              </w:rPr>
              <w:t>-55,8 /-62,1%</w:t>
            </w:r>
          </w:p>
        </w:tc>
        <w:tc>
          <w:tcPr>
            <w:tcW w:w="1474" w:type="dxa"/>
            <w:vAlign w:val="center"/>
          </w:tcPr>
          <w:p w:rsidR="00E7329A" w:rsidRPr="0080250D" w:rsidRDefault="00E7329A" w:rsidP="00AB167E">
            <w:pPr>
              <w:spacing w:before="40" w:after="40"/>
              <w:jc w:val="center"/>
              <w:rPr>
                <w:sz w:val="22"/>
                <w:szCs w:val="22"/>
              </w:rPr>
            </w:pPr>
          </w:p>
        </w:tc>
      </w:tr>
      <w:tr w:rsidR="00E7329A" w:rsidRPr="00D452D7" w:rsidTr="00A910DC">
        <w:tc>
          <w:tcPr>
            <w:tcW w:w="2103" w:type="dxa"/>
          </w:tcPr>
          <w:p w:rsidR="00E7329A" w:rsidRPr="00D452D7" w:rsidRDefault="00E7329A" w:rsidP="00350957">
            <w:pPr>
              <w:spacing w:before="40" w:after="40"/>
              <w:rPr>
                <w:sz w:val="22"/>
                <w:szCs w:val="22"/>
              </w:rPr>
            </w:pPr>
            <w:r>
              <w:rPr>
                <w:sz w:val="22"/>
                <w:szCs w:val="22"/>
              </w:rPr>
              <w:t>Платные услуги</w:t>
            </w:r>
          </w:p>
        </w:tc>
        <w:tc>
          <w:tcPr>
            <w:tcW w:w="737" w:type="dxa"/>
            <w:vAlign w:val="center"/>
          </w:tcPr>
          <w:p w:rsidR="00E7329A" w:rsidRPr="00F12520" w:rsidRDefault="00E7329A" w:rsidP="004537C6">
            <w:pPr>
              <w:spacing w:before="40" w:after="40"/>
              <w:jc w:val="center"/>
              <w:rPr>
                <w:sz w:val="22"/>
                <w:szCs w:val="22"/>
              </w:rPr>
            </w:pPr>
            <w:r>
              <w:rPr>
                <w:sz w:val="22"/>
                <w:szCs w:val="22"/>
              </w:rPr>
              <w:t>18,4</w:t>
            </w:r>
          </w:p>
        </w:tc>
        <w:tc>
          <w:tcPr>
            <w:tcW w:w="737" w:type="dxa"/>
            <w:vAlign w:val="center"/>
          </w:tcPr>
          <w:p w:rsidR="00E7329A" w:rsidRPr="00F12520" w:rsidRDefault="00E7329A" w:rsidP="004537C6">
            <w:pPr>
              <w:spacing w:before="40" w:after="40"/>
              <w:jc w:val="center"/>
              <w:rPr>
                <w:sz w:val="22"/>
                <w:szCs w:val="22"/>
              </w:rPr>
            </w:pPr>
            <w:r>
              <w:rPr>
                <w:sz w:val="22"/>
                <w:szCs w:val="22"/>
              </w:rPr>
              <w:t>16,9</w:t>
            </w:r>
          </w:p>
        </w:tc>
        <w:tc>
          <w:tcPr>
            <w:tcW w:w="737" w:type="dxa"/>
            <w:vAlign w:val="center"/>
          </w:tcPr>
          <w:p w:rsidR="00E7329A" w:rsidRPr="00F12520" w:rsidRDefault="0080250D" w:rsidP="00350957">
            <w:pPr>
              <w:spacing w:before="40" w:after="40"/>
              <w:jc w:val="center"/>
              <w:rPr>
                <w:sz w:val="22"/>
                <w:szCs w:val="22"/>
              </w:rPr>
            </w:pPr>
            <w:r>
              <w:rPr>
                <w:sz w:val="22"/>
                <w:szCs w:val="22"/>
              </w:rPr>
              <w:t>16,5</w:t>
            </w:r>
          </w:p>
        </w:tc>
        <w:tc>
          <w:tcPr>
            <w:tcW w:w="794" w:type="dxa"/>
            <w:vAlign w:val="center"/>
          </w:tcPr>
          <w:p w:rsidR="00E7329A" w:rsidRPr="00F12520" w:rsidRDefault="00E7329A" w:rsidP="004537C6">
            <w:pPr>
              <w:spacing w:before="40" w:after="40"/>
              <w:jc w:val="center"/>
              <w:rPr>
                <w:sz w:val="22"/>
                <w:szCs w:val="22"/>
              </w:rPr>
            </w:pPr>
            <w:r>
              <w:rPr>
                <w:sz w:val="22"/>
                <w:szCs w:val="22"/>
              </w:rPr>
              <w:t>15,0%</w:t>
            </w:r>
          </w:p>
        </w:tc>
        <w:tc>
          <w:tcPr>
            <w:tcW w:w="794" w:type="dxa"/>
            <w:vAlign w:val="center"/>
          </w:tcPr>
          <w:p w:rsidR="00E7329A" w:rsidRPr="00F12520" w:rsidRDefault="00E7329A" w:rsidP="004537C6">
            <w:pPr>
              <w:spacing w:before="40" w:after="40"/>
              <w:jc w:val="center"/>
              <w:rPr>
                <w:sz w:val="22"/>
                <w:szCs w:val="22"/>
              </w:rPr>
            </w:pPr>
            <w:r>
              <w:rPr>
                <w:sz w:val="22"/>
                <w:szCs w:val="22"/>
              </w:rPr>
              <w:t>9,4%</w:t>
            </w:r>
          </w:p>
        </w:tc>
        <w:tc>
          <w:tcPr>
            <w:tcW w:w="794" w:type="dxa"/>
            <w:vAlign w:val="center"/>
          </w:tcPr>
          <w:p w:rsidR="00E7329A" w:rsidRPr="00F12520" w:rsidRDefault="0080250D" w:rsidP="00350957">
            <w:pPr>
              <w:spacing w:before="40" w:after="40"/>
              <w:jc w:val="center"/>
              <w:rPr>
                <w:sz w:val="22"/>
                <w:szCs w:val="22"/>
              </w:rPr>
            </w:pPr>
            <w:r>
              <w:rPr>
                <w:sz w:val="22"/>
                <w:szCs w:val="22"/>
              </w:rPr>
              <w:t>84,6%</w:t>
            </w:r>
          </w:p>
        </w:tc>
        <w:tc>
          <w:tcPr>
            <w:tcW w:w="1474" w:type="dxa"/>
            <w:vAlign w:val="center"/>
          </w:tcPr>
          <w:p w:rsidR="00E7329A" w:rsidRPr="0080250D" w:rsidRDefault="00E7329A" w:rsidP="004537C6">
            <w:pPr>
              <w:spacing w:before="40" w:after="40"/>
              <w:jc w:val="center"/>
              <w:rPr>
                <w:sz w:val="22"/>
                <w:szCs w:val="22"/>
              </w:rPr>
            </w:pPr>
            <w:r w:rsidRPr="0080250D">
              <w:rPr>
                <w:sz w:val="22"/>
                <w:szCs w:val="22"/>
              </w:rPr>
              <w:t>-1,5 / -8,2%</w:t>
            </w:r>
          </w:p>
        </w:tc>
        <w:tc>
          <w:tcPr>
            <w:tcW w:w="1474" w:type="dxa"/>
            <w:vAlign w:val="center"/>
          </w:tcPr>
          <w:p w:rsidR="00E7329A" w:rsidRPr="0080250D" w:rsidRDefault="00E7329A" w:rsidP="0080250D">
            <w:pPr>
              <w:spacing w:before="40" w:after="40"/>
              <w:jc w:val="center"/>
              <w:rPr>
                <w:sz w:val="22"/>
                <w:szCs w:val="22"/>
              </w:rPr>
            </w:pPr>
            <w:r w:rsidRPr="0080250D">
              <w:rPr>
                <w:sz w:val="22"/>
                <w:szCs w:val="22"/>
              </w:rPr>
              <w:t>-</w:t>
            </w:r>
            <w:r w:rsidR="0080250D" w:rsidRPr="0080250D">
              <w:rPr>
                <w:sz w:val="22"/>
                <w:szCs w:val="22"/>
              </w:rPr>
              <w:t>0,4</w:t>
            </w:r>
            <w:r w:rsidRPr="0080250D">
              <w:rPr>
                <w:sz w:val="22"/>
                <w:szCs w:val="22"/>
              </w:rPr>
              <w:t xml:space="preserve"> / -</w:t>
            </w:r>
            <w:r w:rsidR="0080250D" w:rsidRPr="0080250D">
              <w:rPr>
                <w:sz w:val="22"/>
                <w:szCs w:val="22"/>
              </w:rPr>
              <w:t>2,4</w:t>
            </w:r>
            <w:r w:rsidRPr="0080250D">
              <w:rPr>
                <w:sz w:val="22"/>
                <w:szCs w:val="22"/>
              </w:rPr>
              <w:t>%</w:t>
            </w:r>
          </w:p>
        </w:tc>
      </w:tr>
      <w:tr w:rsidR="00E7329A" w:rsidRPr="00D452D7" w:rsidTr="00A910DC">
        <w:tc>
          <w:tcPr>
            <w:tcW w:w="2103" w:type="dxa"/>
          </w:tcPr>
          <w:p w:rsidR="00E7329A" w:rsidRPr="00D452D7" w:rsidRDefault="00E7329A" w:rsidP="00350957">
            <w:pPr>
              <w:spacing w:before="40" w:after="40"/>
              <w:rPr>
                <w:sz w:val="22"/>
                <w:szCs w:val="22"/>
              </w:rPr>
            </w:pPr>
            <w:r>
              <w:rPr>
                <w:sz w:val="22"/>
                <w:szCs w:val="22"/>
              </w:rPr>
              <w:t>Возмещение затрат</w:t>
            </w:r>
          </w:p>
        </w:tc>
        <w:tc>
          <w:tcPr>
            <w:tcW w:w="737" w:type="dxa"/>
            <w:vAlign w:val="center"/>
          </w:tcPr>
          <w:p w:rsidR="00E7329A" w:rsidRPr="00F12520" w:rsidRDefault="00E7329A" w:rsidP="004537C6">
            <w:pPr>
              <w:spacing w:before="40" w:after="40"/>
              <w:jc w:val="center"/>
              <w:rPr>
                <w:sz w:val="22"/>
                <w:szCs w:val="22"/>
              </w:rPr>
            </w:pPr>
            <w:r>
              <w:rPr>
                <w:sz w:val="22"/>
                <w:szCs w:val="22"/>
              </w:rPr>
              <w:t>13,9</w:t>
            </w:r>
          </w:p>
        </w:tc>
        <w:tc>
          <w:tcPr>
            <w:tcW w:w="737" w:type="dxa"/>
            <w:vAlign w:val="center"/>
          </w:tcPr>
          <w:p w:rsidR="00E7329A" w:rsidRPr="00F12520" w:rsidRDefault="00E7329A" w:rsidP="004537C6">
            <w:pPr>
              <w:spacing w:before="40" w:after="40"/>
              <w:jc w:val="center"/>
              <w:rPr>
                <w:sz w:val="22"/>
                <w:szCs w:val="22"/>
              </w:rPr>
            </w:pPr>
            <w:r>
              <w:rPr>
                <w:sz w:val="22"/>
                <w:szCs w:val="22"/>
              </w:rPr>
              <w:t>55,4</w:t>
            </w:r>
          </w:p>
        </w:tc>
        <w:tc>
          <w:tcPr>
            <w:tcW w:w="737" w:type="dxa"/>
            <w:vAlign w:val="center"/>
          </w:tcPr>
          <w:p w:rsidR="00E7329A" w:rsidRPr="00F12520" w:rsidRDefault="0080250D" w:rsidP="00350957">
            <w:pPr>
              <w:spacing w:before="40" w:after="40"/>
              <w:jc w:val="center"/>
              <w:rPr>
                <w:sz w:val="22"/>
                <w:szCs w:val="22"/>
              </w:rPr>
            </w:pPr>
            <w:r>
              <w:rPr>
                <w:sz w:val="22"/>
                <w:szCs w:val="22"/>
              </w:rPr>
              <w:t>3,0</w:t>
            </w:r>
          </w:p>
        </w:tc>
        <w:tc>
          <w:tcPr>
            <w:tcW w:w="794" w:type="dxa"/>
            <w:vAlign w:val="center"/>
          </w:tcPr>
          <w:p w:rsidR="00E7329A" w:rsidRPr="00F12520" w:rsidRDefault="00E7329A" w:rsidP="004537C6">
            <w:pPr>
              <w:spacing w:before="40" w:after="40"/>
              <w:jc w:val="center"/>
              <w:rPr>
                <w:sz w:val="22"/>
                <w:szCs w:val="22"/>
              </w:rPr>
            </w:pPr>
            <w:r>
              <w:rPr>
                <w:sz w:val="22"/>
                <w:szCs w:val="22"/>
              </w:rPr>
              <w:t>11,3%</w:t>
            </w:r>
          </w:p>
        </w:tc>
        <w:tc>
          <w:tcPr>
            <w:tcW w:w="794" w:type="dxa"/>
            <w:vAlign w:val="center"/>
          </w:tcPr>
          <w:p w:rsidR="00E7329A" w:rsidRPr="00F12520" w:rsidRDefault="00E7329A" w:rsidP="004537C6">
            <w:pPr>
              <w:spacing w:before="40" w:after="40"/>
              <w:jc w:val="center"/>
              <w:rPr>
                <w:sz w:val="22"/>
                <w:szCs w:val="22"/>
              </w:rPr>
            </w:pPr>
            <w:r>
              <w:rPr>
                <w:sz w:val="22"/>
                <w:szCs w:val="22"/>
              </w:rPr>
              <w:t>30,7%</w:t>
            </w:r>
          </w:p>
        </w:tc>
        <w:tc>
          <w:tcPr>
            <w:tcW w:w="794" w:type="dxa"/>
            <w:vAlign w:val="center"/>
          </w:tcPr>
          <w:p w:rsidR="00E7329A" w:rsidRPr="00F12520" w:rsidRDefault="0080250D" w:rsidP="00350957">
            <w:pPr>
              <w:spacing w:before="40" w:after="40"/>
              <w:jc w:val="center"/>
              <w:rPr>
                <w:sz w:val="22"/>
                <w:szCs w:val="22"/>
              </w:rPr>
            </w:pPr>
            <w:r>
              <w:rPr>
                <w:sz w:val="22"/>
                <w:szCs w:val="22"/>
              </w:rPr>
              <w:t>15,4%</w:t>
            </w:r>
          </w:p>
        </w:tc>
        <w:tc>
          <w:tcPr>
            <w:tcW w:w="1474" w:type="dxa"/>
            <w:vAlign w:val="center"/>
          </w:tcPr>
          <w:p w:rsidR="00E7329A" w:rsidRPr="0080250D" w:rsidRDefault="00E7329A" w:rsidP="004537C6">
            <w:pPr>
              <w:spacing w:before="40" w:after="40"/>
              <w:jc w:val="center"/>
              <w:rPr>
                <w:spacing w:val="-2"/>
                <w:sz w:val="22"/>
                <w:szCs w:val="22"/>
              </w:rPr>
            </w:pPr>
            <w:r w:rsidRPr="0080250D">
              <w:rPr>
                <w:spacing w:val="-2"/>
                <w:sz w:val="22"/>
                <w:szCs w:val="22"/>
              </w:rPr>
              <w:t>41,5 / 4 раза</w:t>
            </w:r>
          </w:p>
        </w:tc>
        <w:tc>
          <w:tcPr>
            <w:tcW w:w="1474" w:type="dxa"/>
            <w:vAlign w:val="center"/>
          </w:tcPr>
          <w:p w:rsidR="00E7329A" w:rsidRPr="0080250D" w:rsidRDefault="0080250D" w:rsidP="00350957">
            <w:pPr>
              <w:spacing w:before="40" w:after="40"/>
              <w:jc w:val="center"/>
              <w:rPr>
                <w:spacing w:val="-2"/>
                <w:sz w:val="22"/>
                <w:szCs w:val="22"/>
              </w:rPr>
            </w:pPr>
            <w:r w:rsidRPr="0080250D">
              <w:rPr>
                <w:spacing w:val="-2"/>
                <w:sz w:val="22"/>
                <w:szCs w:val="22"/>
              </w:rPr>
              <w:t>-52,4 / -94,6%</w:t>
            </w:r>
          </w:p>
        </w:tc>
      </w:tr>
      <w:tr w:rsidR="00E7329A" w:rsidRPr="00D452D7" w:rsidTr="00DC50CF">
        <w:tc>
          <w:tcPr>
            <w:tcW w:w="2103" w:type="dxa"/>
          </w:tcPr>
          <w:p w:rsidR="00E7329A" w:rsidRPr="00D452D7" w:rsidRDefault="00E7329A" w:rsidP="00DC50CF">
            <w:pPr>
              <w:spacing w:before="40" w:after="40"/>
              <w:rPr>
                <w:sz w:val="22"/>
                <w:szCs w:val="22"/>
              </w:rPr>
            </w:pPr>
            <w:r>
              <w:rPr>
                <w:sz w:val="22"/>
                <w:szCs w:val="22"/>
              </w:rPr>
              <w:t>Реализация имущ</w:t>
            </w:r>
            <w:r>
              <w:rPr>
                <w:sz w:val="22"/>
                <w:szCs w:val="22"/>
              </w:rPr>
              <w:t>е</w:t>
            </w:r>
            <w:r>
              <w:rPr>
                <w:sz w:val="22"/>
                <w:szCs w:val="22"/>
              </w:rPr>
              <w:t>ства</w:t>
            </w:r>
          </w:p>
        </w:tc>
        <w:tc>
          <w:tcPr>
            <w:tcW w:w="737" w:type="dxa"/>
            <w:vAlign w:val="center"/>
          </w:tcPr>
          <w:p w:rsidR="00E7329A" w:rsidRPr="00F12520" w:rsidRDefault="00E7329A" w:rsidP="004537C6">
            <w:pPr>
              <w:spacing w:before="40" w:after="40"/>
              <w:jc w:val="center"/>
              <w:rPr>
                <w:sz w:val="22"/>
                <w:szCs w:val="22"/>
              </w:rPr>
            </w:pPr>
          </w:p>
        </w:tc>
        <w:tc>
          <w:tcPr>
            <w:tcW w:w="737" w:type="dxa"/>
            <w:vAlign w:val="center"/>
          </w:tcPr>
          <w:p w:rsidR="00E7329A" w:rsidRPr="00F12520" w:rsidRDefault="00E7329A" w:rsidP="004537C6">
            <w:pPr>
              <w:spacing w:before="40" w:after="40"/>
              <w:jc w:val="center"/>
              <w:rPr>
                <w:sz w:val="22"/>
                <w:szCs w:val="22"/>
              </w:rPr>
            </w:pPr>
            <w:r>
              <w:rPr>
                <w:sz w:val="22"/>
                <w:szCs w:val="22"/>
              </w:rPr>
              <w:t>73,7</w:t>
            </w:r>
          </w:p>
        </w:tc>
        <w:tc>
          <w:tcPr>
            <w:tcW w:w="737" w:type="dxa"/>
            <w:vAlign w:val="center"/>
          </w:tcPr>
          <w:p w:rsidR="00E7329A" w:rsidRPr="00F12520" w:rsidRDefault="00E7329A" w:rsidP="00DC50CF">
            <w:pPr>
              <w:spacing w:before="40" w:after="40"/>
              <w:jc w:val="center"/>
              <w:rPr>
                <w:sz w:val="22"/>
                <w:szCs w:val="22"/>
              </w:rPr>
            </w:pPr>
          </w:p>
        </w:tc>
        <w:tc>
          <w:tcPr>
            <w:tcW w:w="794" w:type="dxa"/>
            <w:vAlign w:val="center"/>
          </w:tcPr>
          <w:p w:rsidR="00E7329A" w:rsidRPr="00F12520" w:rsidRDefault="00E7329A" w:rsidP="004537C6">
            <w:pPr>
              <w:spacing w:before="40" w:after="40"/>
              <w:jc w:val="center"/>
              <w:rPr>
                <w:sz w:val="22"/>
                <w:szCs w:val="22"/>
              </w:rPr>
            </w:pPr>
            <w:r>
              <w:rPr>
                <w:sz w:val="22"/>
                <w:szCs w:val="22"/>
              </w:rPr>
              <w:t>0,3%</w:t>
            </w:r>
          </w:p>
        </w:tc>
        <w:tc>
          <w:tcPr>
            <w:tcW w:w="794" w:type="dxa"/>
            <w:vAlign w:val="center"/>
          </w:tcPr>
          <w:p w:rsidR="00E7329A" w:rsidRPr="00F12520" w:rsidRDefault="00E7329A" w:rsidP="004537C6">
            <w:pPr>
              <w:spacing w:before="40" w:after="40"/>
              <w:jc w:val="center"/>
              <w:rPr>
                <w:sz w:val="22"/>
                <w:szCs w:val="22"/>
              </w:rPr>
            </w:pPr>
            <w:r>
              <w:rPr>
                <w:sz w:val="22"/>
                <w:szCs w:val="22"/>
              </w:rPr>
              <w:t>40,9%</w:t>
            </w:r>
          </w:p>
        </w:tc>
        <w:tc>
          <w:tcPr>
            <w:tcW w:w="794" w:type="dxa"/>
            <w:vAlign w:val="center"/>
          </w:tcPr>
          <w:p w:rsidR="00E7329A" w:rsidRPr="00F12520" w:rsidRDefault="00E7329A" w:rsidP="00DC50CF">
            <w:pPr>
              <w:spacing w:before="40" w:after="40"/>
              <w:jc w:val="center"/>
              <w:rPr>
                <w:sz w:val="22"/>
                <w:szCs w:val="22"/>
              </w:rPr>
            </w:pPr>
          </w:p>
        </w:tc>
        <w:tc>
          <w:tcPr>
            <w:tcW w:w="1474" w:type="dxa"/>
            <w:vAlign w:val="center"/>
          </w:tcPr>
          <w:p w:rsidR="00E7329A" w:rsidRPr="0080250D" w:rsidRDefault="00E7329A" w:rsidP="004537C6">
            <w:pPr>
              <w:spacing w:before="40" w:after="40"/>
              <w:jc w:val="center"/>
              <w:rPr>
                <w:spacing w:val="-2"/>
                <w:sz w:val="22"/>
                <w:szCs w:val="22"/>
              </w:rPr>
            </w:pPr>
          </w:p>
        </w:tc>
        <w:tc>
          <w:tcPr>
            <w:tcW w:w="1474" w:type="dxa"/>
            <w:vAlign w:val="center"/>
          </w:tcPr>
          <w:p w:rsidR="00E7329A" w:rsidRPr="0080250D" w:rsidRDefault="00E7329A" w:rsidP="00DC50CF">
            <w:pPr>
              <w:spacing w:before="40" w:after="40"/>
              <w:jc w:val="center"/>
              <w:rPr>
                <w:spacing w:val="-2"/>
                <w:sz w:val="22"/>
                <w:szCs w:val="22"/>
              </w:rPr>
            </w:pPr>
          </w:p>
        </w:tc>
      </w:tr>
      <w:tr w:rsidR="00E7329A" w:rsidRPr="00D452D7" w:rsidTr="00A910DC">
        <w:tc>
          <w:tcPr>
            <w:tcW w:w="2103" w:type="dxa"/>
          </w:tcPr>
          <w:p w:rsidR="00E7329A" w:rsidRPr="00D452D7" w:rsidRDefault="00E7329A" w:rsidP="00350957">
            <w:pPr>
              <w:spacing w:before="40" w:after="40"/>
              <w:rPr>
                <w:sz w:val="22"/>
                <w:szCs w:val="22"/>
              </w:rPr>
            </w:pPr>
            <w:r>
              <w:rPr>
                <w:sz w:val="22"/>
                <w:szCs w:val="22"/>
              </w:rPr>
              <w:t>Штрафы</w:t>
            </w:r>
          </w:p>
        </w:tc>
        <w:tc>
          <w:tcPr>
            <w:tcW w:w="737" w:type="dxa"/>
            <w:vAlign w:val="center"/>
          </w:tcPr>
          <w:p w:rsidR="00E7329A" w:rsidRPr="00F12520" w:rsidRDefault="00E7329A" w:rsidP="004537C6">
            <w:pPr>
              <w:spacing w:before="40" w:after="40"/>
              <w:jc w:val="center"/>
              <w:rPr>
                <w:sz w:val="22"/>
                <w:szCs w:val="22"/>
              </w:rPr>
            </w:pPr>
            <w:r>
              <w:rPr>
                <w:sz w:val="22"/>
                <w:szCs w:val="22"/>
              </w:rPr>
              <w:t>0,4</w:t>
            </w:r>
          </w:p>
        </w:tc>
        <w:tc>
          <w:tcPr>
            <w:tcW w:w="737" w:type="dxa"/>
            <w:vAlign w:val="center"/>
          </w:tcPr>
          <w:p w:rsidR="00E7329A" w:rsidRPr="00F12520" w:rsidRDefault="00E7329A" w:rsidP="004537C6">
            <w:pPr>
              <w:spacing w:before="40" w:after="40"/>
              <w:jc w:val="center"/>
              <w:rPr>
                <w:sz w:val="22"/>
                <w:szCs w:val="22"/>
              </w:rPr>
            </w:pPr>
            <w:r>
              <w:rPr>
                <w:sz w:val="22"/>
                <w:szCs w:val="22"/>
              </w:rPr>
              <w:t>0,1</w:t>
            </w:r>
          </w:p>
        </w:tc>
        <w:tc>
          <w:tcPr>
            <w:tcW w:w="737" w:type="dxa"/>
            <w:vAlign w:val="center"/>
          </w:tcPr>
          <w:p w:rsidR="00E7329A" w:rsidRPr="00F12520" w:rsidRDefault="00E7329A" w:rsidP="00350957">
            <w:pPr>
              <w:spacing w:before="40" w:after="40"/>
              <w:jc w:val="center"/>
              <w:rPr>
                <w:sz w:val="22"/>
                <w:szCs w:val="22"/>
              </w:rPr>
            </w:pPr>
          </w:p>
        </w:tc>
        <w:tc>
          <w:tcPr>
            <w:tcW w:w="794" w:type="dxa"/>
            <w:vAlign w:val="center"/>
          </w:tcPr>
          <w:p w:rsidR="00E7329A" w:rsidRPr="00F12520" w:rsidRDefault="00E7329A" w:rsidP="004537C6">
            <w:pPr>
              <w:spacing w:before="40" w:after="40"/>
              <w:jc w:val="center"/>
              <w:rPr>
                <w:sz w:val="22"/>
                <w:szCs w:val="22"/>
              </w:rPr>
            </w:pPr>
            <w:r>
              <w:rPr>
                <w:sz w:val="22"/>
                <w:szCs w:val="22"/>
              </w:rPr>
              <w:t>0,3%</w:t>
            </w:r>
          </w:p>
        </w:tc>
        <w:tc>
          <w:tcPr>
            <w:tcW w:w="794" w:type="dxa"/>
            <w:vAlign w:val="center"/>
          </w:tcPr>
          <w:p w:rsidR="00E7329A" w:rsidRPr="00F12520" w:rsidRDefault="00E7329A" w:rsidP="004537C6">
            <w:pPr>
              <w:spacing w:before="40" w:after="40"/>
              <w:jc w:val="center"/>
              <w:rPr>
                <w:sz w:val="22"/>
                <w:szCs w:val="22"/>
              </w:rPr>
            </w:pPr>
            <w:r>
              <w:rPr>
                <w:sz w:val="22"/>
                <w:szCs w:val="22"/>
              </w:rPr>
              <w:t>0,1%</w:t>
            </w:r>
          </w:p>
        </w:tc>
        <w:tc>
          <w:tcPr>
            <w:tcW w:w="794" w:type="dxa"/>
            <w:vAlign w:val="center"/>
          </w:tcPr>
          <w:p w:rsidR="00E7329A" w:rsidRPr="00F12520" w:rsidRDefault="00E7329A" w:rsidP="00350957">
            <w:pPr>
              <w:spacing w:before="40" w:after="40"/>
              <w:jc w:val="center"/>
              <w:rPr>
                <w:sz w:val="22"/>
                <w:szCs w:val="22"/>
              </w:rPr>
            </w:pPr>
          </w:p>
        </w:tc>
        <w:tc>
          <w:tcPr>
            <w:tcW w:w="1474" w:type="dxa"/>
            <w:vAlign w:val="center"/>
          </w:tcPr>
          <w:p w:rsidR="00E7329A" w:rsidRPr="0080250D" w:rsidRDefault="00E7329A" w:rsidP="004537C6">
            <w:pPr>
              <w:spacing w:before="40" w:after="40"/>
              <w:jc w:val="center"/>
              <w:rPr>
                <w:spacing w:val="-2"/>
                <w:sz w:val="22"/>
                <w:szCs w:val="22"/>
              </w:rPr>
            </w:pPr>
            <w:r w:rsidRPr="0080250D">
              <w:rPr>
                <w:spacing w:val="-2"/>
                <w:sz w:val="22"/>
                <w:szCs w:val="22"/>
              </w:rPr>
              <w:t>-0,3 / -75,0%</w:t>
            </w:r>
          </w:p>
        </w:tc>
        <w:tc>
          <w:tcPr>
            <w:tcW w:w="1474" w:type="dxa"/>
            <w:vAlign w:val="center"/>
          </w:tcPr>
          <w:p w:rsidR="00E7329A" w:rsidRPr="0080250D" w:rsidRDefault="00E7329A" w:rsidP="00350957">
            <w:pPr>
              <w:spacing w:before="40" w:after="40"/>
              <w:jc w:val="center"/>
              <w:rPr>
                <w:spacing w:val="-2"/>
                <w:sz w:val="22"/>
                <w:szCs w:val="22"/>
              </w:rPr>
            </w:pPr>
          </w:p>
        </w:tc>
      </w:tr>
      <w:tr w:rsidR="00E7329A" w:rsidRPr="0029403D" w:rsidTr="00A910DC">
        <w:tc>
          <w:tcPr>
            <w:tcW w:w="2103" w:type="dxa"/>
          </w:tcPr>
          <w:p w:rsidR="00E7329A" w:rsidRPr="0029403D" w:rsidRDefault="00E7329A" w:rsidP="00350957">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E7329A" w:rsidRPr="00F12520" w:rsidRDefault="00E7329A" w:rsidP="004537C6">
            <w:pPr>
              <w:jc w:val="center"/>
              <w:rPr>
                <w:b/>
                <w:sz w:val="22"/>
                <w:szCs w:val="22"/>
              </w:rPr>
            </w:pPr>
            <w:r>
              <w:rPr>
                <w:b/>
                <w:sz w:val="22"/>
                <w:szCs w:val="22"/>
              </w:rPr>
              <w:t>122,6</w:t>
            </w:r>
          </w:p>
        </w:tc>
        <w:tc>
          <w:tcPr>
            <w:tcW w:w="737" w:type="dxa"/>
            <w:vAlign w:val="center"/>
          </w:tcPr>
          <w:p w:rsidR="00E7329A" w:rsidRPr="00F12520" w:rsidRDefault="00E7329A" w:rsidP="004537C6">
            <w:pPr>
              <w:jc w:val="center"/>
              <w:rPr>
                <w:b/>
                <w:sz w:val="22"/>
                <w:szCs w:val="22"/>
              </w:rPr>
            </w:pPr>
            <w:r>
              <w:rPr>
                <w:b/>
                <w:sz w:val="22"/>
                <w:szCs w:val="22"/>
              </w:rPr>
              <w:t>180,3</w:t>
            </w:r>
          </w:p>
        </w:tc>
        <w:tc>
          <w:tcPr>
            <w:tcW w:w="737" w:type="dxa"/>
            <w:vAlign w:val="center"/>
          </w:tcPr>
          <w:p w:rsidR="00E7329A" w:rsidRPr="00F12520" w:rsidRDefault="0080250D" w:rsidP="00350957">
            <w:pPr>
              <w:jc w:val="center"/>
              <w:rPr>
                <w:b/>
                <w:sz w:val="22"/>
                <w:szCs w:val="22"/>
              </w:rPr>
            </w:pPr>
            <w:r>
              <w:rPr>
                <w:b/>
                <w:sz w:val="22"/>
                <w:szCs w:val="22"/>
              </w:rPr>
              <w:t>19,5</w:t>
            </w:r>
          </w:p>
        </w:tc>
        <w:tc>
          <w:tcPr>
            <w:tcW w:w="794" w:type="dxa"/>
            <w:vAlign w:val="center"/>
          </w:tcPr>
          <w:p w:rsidR="00E7329A" w:rsidRPr="00F12520" w:rsidRDefault="00E7329A" w:rsidP="00350957">
            <w:pPr>
              <w:jc w:val="center"/>
              <w:rPr>
                <w:b/>
                <w:sz w:val="22"/>
                <w:szCs w:val="22"/>
              </w:rPr>
            </w:pPr>
            <w:r w:rsidRPr="00F12520">
              <w:rPr>
                <w:b/>
                <w:sz w:val="22"/>
                <w:szCs w:val="22"/>
              </w:rPr>
              <w:t>100%</w:t>
            </w:r>
          </w:p>
        </w:tc>
        <w:tc>
          <w:tcPr>
            <w:tcW w:w="794" w:type="dxa"/>
            <w:vAlign w:val="center"/>
          </w:tcPr>
          <w:p w:rsidR="00E7329A" w:rsidRPr="00F12520" w:rsidRDefault="00E7329A" w:rsidP="00350957">
            <w:pPr>
              <w:jc w:val="center"/>
              <w:rPr>
                <w:b/>
                <w:sz w:val="22"/>
                <w:szCs w:val="22"/>
              </w:rPr>
            </w:pPr>
            <w:r w:rsidRPr="00F12520">
              <w:rPr>
                <w:b/>
                <w:sz w:val="22"/>
                <w:szCs w:val="22"/>
              </w:rPr>
              <w:t>100%</w:t>
            </w:r>
          </w:p>
        </w:tc>
        <w:tc>
          <w:tcPr>
            <w:tcW w:w="794" w:type="dxa"/>
            <w:vAlign w:val="center"/>
          </w:tcPr>
          <w:p w:rsidR="00E7329A" w:rsidRPr="00F12520" w:rsidRDefault="00E7329A" w:rsidP="00350957">
            <w:pPr>
              <w:jc w:val="center"/>
              <w:rPr>
                <w:b/>
                <w:sz w:val="22"/>
                <w:szCs w:val="22"/>
              </w:rPr>
            </w:pPr>
            <w:r w:rsidRPr="00F12520">
              <w:rPr>
                <w:b/>
                <w:sz w:val="22"/>
                <w:szCs w:val="22"/>
              </w:rPr>
              <w:t>100%</w:t>
            </w:r>
          </w:p>
        </w:tc>
        <w:tc>
          <w:tcPr>
            <w:tcW w:w="1474" w:type="dxa"/>
            <w:vAlign w:val="center"/>
          </w:tcPr>
          <w:p w:rsidR="00E7329A" w:rsidRPr="00F12520" w:rsidRDefault="00E7329A" w:rsidP="004537C6">
            <w:pPr>
              <w:jc w:val="center"/>
              <w:rPr>
                <w:b/>
                <w:sz w:val="22"/>
                <w:szCs w:val="22"/>
              </w:rPr>
            </w:pPr>
            <w:r>
              <w:rPr>
                <w:b/>
                <w:sz w:val="22"/>
                <w:szCs w:val="22"/>
              </w:rPr>
              <w:t>57,7 / 47,1%</w:t>
            </w:r>
          </w:p>
        </w:tc>
        <w:tc>
          <w:tcPr>
            <w:tcW w:w="1474" w:type="dxa"/>
            <w:vAlign w:val="center"/>
          </w:tcPr>
          <w:p w:rsidR="00C52529" w:rsidRDefault="0080250D" w:rsidP="00C52529">
            <w:pPr>
              <w:jc w:val="center"/>
              <w:rPr>
                <w:b/>
                <w:sz w:val="22"/>
                <w:szCs w:val="22"/>
              </w:rPr>
            </w:pPr>
            <w:r>
              <w:rPr>
                <w:b/>
                <w:sz w:val="22"/>
                <w:szCs w:val="22"/>
              </w:rPr>
              <w:t>-160,8</w:t>
            </w:r>
            <w:r w:rsidR="00E7329A">
              <w:rPr>
                <w:b/>
                <w:sz w:val="22"/>
                <w:szCs w:val="22"/>
              </w:rPr>
              <w:t xml:space="preserve"> / </w:t>
            </w:r>
          </w:p>
          <w:p w:rsidR="00E7329A" w:rsidRPr="00F12520" w:rsidRDefault="0080250D" w:rsidP="00C52529">
            <w:pPr>
              <w:jc w:val="center"/>
              <w:rPr>
                <w:b/>
                <w:sz w:val="22"/>
                <w:szCs w:val="22"/>
              </w:rPr>
            </w:pPr>
            <w:r>
              <w:rPr>
                <w:b/>
                <w:sz w:val="22"/>
                <w:szCs w:val="22"/>
              </w:rPr>
              <w:t>-</w:t>
            </w:r>
            <w:r w:rsidR="00C52529">
              <w:rPr>
                <w:b/>
                <w:sz w:val="22"/>
                <w:szCs w:val="22"/>
              </w:rPr>
              <w:t>89,2</w:t>
            </w:r>
            <w:r w:rsidR="00E7329A">
              <w:rPr>
                <w:b/>
                <w:sz w:val="22"/>
                <w:szCs w:val="22"/>
              </w:rPr>
              <w:t>%</w:t>
            </w:r>
          </w:p>
        </w:tc>
      </w:tr>
    </w:tbl>
    <w:p w:rsidR="00C52529" w:rsidRPr="007F29DC" w:rsidRDefault="00C52529" w:rsidP="00C52529">
      <w:pPr>
        <w:spacing w:before="120"/>
        <w:ind w:firstLine="567"/>
        <w:jc w:val="both"/>
        <w:rPr>
          <w:rFonts w:ascii="Times New Roman CYR" w:hAnsi="Times New Roman CYR" w:cs="Times New Roman CYR"/>
          <w:spacing w:val="-2"/>
        </w:rPr>
      </w:pPr>
      <w:proofErr w:type="gramStart"/>
      <w:r w:rsidRPr="007F29DC">
        <w:rPr>
          <w:rFonts w:ascii="Times New Roman CYR" w:hAnsi="Times New Roman CYR" w:cs="Times New Roman CYR"/>
          <w:spacing w:val="-2"/>
        </w:rPr>
        <w:t>В связи с изменением в БК РФ доходы от аренды за земельные участки</w:t>
      </w:r>
      <w:proofErr w:type="gramEnd"/>
      <w:r w:rsidRPr="007F29DC">
        <w:rPr>
          <w:rFonts w:ascii="Times New Roman CYR" w:hAnsi="Times New Roman CYR" w:cs="Times New Roman CYR"/>
          <w:spacing w:val="-2"/>
        </w:rPr>
        <w:t>, расположенные в сельских поселениях, поступают по нормативу 100% в бюджет муниципального района.</w:t>
      </w:r>
    </w:p>
    <w:p w:rsidR="009C03FE" w:rsidRPr="00774845" w:rsidRDefault="005E15EC" w:rsidP="00C52529">
      <w:pPr>
        <w:spacing w:before="120"/>
        <w:ind w:firstLine="567"/>
        <w:jc w:val="both"/>
        <w:rPr>
          <w:i/>
        </w:rPr>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99504D">
        <w:rPr>
          <w:bCs/>
          <w:iCs/>
        </w:rPr>
        <w:t>2015</w:t>
      </w:r>
      <w:r w:rsidR="009C03FE" w:rsidRPr="0029403D">
        <w:rPr>
          <w:bCs/>
          <w:iCs/>
        </w:rPr>
        <w:t xml:space="preserve"> год исполнены в объеме </w:t>
      </w:r>
      <w:r w:rsidR="00C52529">
        <w:rPr>
          <w:bCs/>
          <w:iCs/>
        </w:rPr>
        <w:t>8477</w:t>
      </w:r>
      <w:r w:rsidR="00AB167E">
        <w:rPr>
          <w:bCs/>
          <w:iCs/>
        </w:rPr>
        <w:t>,7</w:t>
      </w:r>
      <w:r w:rsidR="009C03FE" w:rsidRPr="0029403D">
        <w:rPr>
          <w:bCs/>
          <w:iCs/>
        </w:rPr>
        <w:t xml:space="preserve"> тыс. руб. или </w:t>
      </w:r>
      <w:r w:rsidR="00C52529">
        <w:rPr>
          <w:bCs/>
          <w:iCs/>
        </w:rPr>
        <w:t>99,2</w:t>
      </w:r>
      <w:r w:rsidR="009C03FE" w:rsidRPr="0029403D">
        <w:rPr>
          <w:bCs/>
          <w:iCs/>
        </w:rPr>
        <w:t>%</w:t>
      </w:r>
      <w:r w:rsidR="00C52529">
        <w:rPr>
          <w:bCs/>
          <w:iCs/>
        </w:rPr>
        <w:t xml:space="preserve"> </w:t>
      </w:r>
      <w:r w:rsidR="00C52529" w:rsidRPr="0029403D">
        <w:t>(</w:t>
      </w:r>
      <w:r w:rsidR="00C52529">
        <w:t>недоисполнение</w:t>
      </w:r>
      <w:r w:rsidR="00C52529" w:rsidRPr="0029403D">
        <w:t xml:space="preserve"> – </w:t>
      </w:r>
      <w:r w:rsidR="007357E8">
        <w:t>71,5</w:t>
      </w:r>
      <w:r w:rsidR="00C52529" w:rsidRPr="0029403D">
        <w:t xml:space="preserve"> тыс. руб.).</w:t>
      </w:r>
      <w:r w:rsidR="0095352B">
        <w:t xml:space="preserve"> </w:t>
      </w:r>
      <w:r w:rsidR="0095352B" w:rsidRPr="00774845">
        <w:rPr>
          <w:i/>
        </w:rPr>
        <w:t>Информация о неисполнении доходов от безвозмездных поступлений</w:t>
      </w:r>
      <w:r w:rsidR="00774845" w:rsidRPr="00774845">
        <w:rPr>
          <w:i/>
        </w:rPr>
        <w:t xml:space="preserve"> отсутствует.</w:t>
      </w:r>
    </w:p>
    <w:p w:rsidR="00D27A12" w:rsidRDefault="005E15EC" w:rsidP="00313DF1">
      <w:pPr>
        <w:spacing w:before="60"/>
        <w:ind w:firstLine="567"/>
        <w:jc w:val="both"/>
        <w:rPr>
          <w:sz w:val="22"/>
          <w:szCs w:val="22"/>
        </w:rPr>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350957">
        <w:t>3</w:t>
      </w:r>
      <w:r w:rsidRPr="0029403D">
        <w:t>.</w:t>
      </w:r>
    </w:p>
    <w:p w:rsidR="005E15EC" w:rsidRPr="00643E3E" w:rsidRDefault="005E15EC" w:rsidP="00051E41">
      <w:pPr>
        <w:spacing w:before="120" w:after="120"/>
        <w:jc w:val="center"/>
        <w:rPr>
          <w:sz w:val="22"/>
          <w:szCs w:val="22"/>
        </w:rPr>
      </w:pPr>
      <w:r w:rsidRPr="00643E3E">
        <w:rPr>
          <w:sz w:val="22"/>
          <w:szCs w:val="22"/>
        </w:rPr>
        <w:t xml:space="preserve">Таблица </w:t>
      </w:r>
      <w:r w:rsidR="00350957">
        <w:rPr>
          <w:sz w:val="22"/>
          <w:szCs w:val="22"/>
        </w:rPr>
        <w:t>3</w:t>
      </w:r>
      <w:r w:rsidRPr="00643E3E">
        <w:rPr>
          <w:sz w:val="22"/>
          <w:szCs w:val="22"/>
        </w:rPr>
        <w:t xml:space="preserve">. </w:t>
      </w:r>
      <w:r w:rsidR="004E793D" w:rsidRPr="00643E3E">
        <w:rPr>
          <w:sz w:val="22"/>
          <w:szCs w:val="22"/>
        </w:rPr>
        <w:t>С</w:t>
      </w:r>
      <w:r w:rsidRPr="00643E3E">
        <w:rPr>
          <w:sz w:val="22"/>
          <w:szCs w:val="22"/>
        </w:rPr>
        <w:t>труктур</w:t>
      </w:r>
      <w:r w:rsidR="004E793D" w:rsidRPr="00643E3E">
        <w:rPr>
          <w:sz w:val="22"/>
          <w:szCs w:val="22"/>
        </w:rPr>
        <w:t>а</w:t>
      </w:r>
      <w:r w:rsidRPr="00643E3E">
        <w:rPr>
          <w:sz w:val="22"/>
          <w:szCs w:val="22"/>
        </w:rPr>
        <w:t xml:space="preserve"> безвозмездных поступлений местного бюджета, тыс. руб.</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907"/>
        <w:gridCol w:w="850"/>
        <w:gridCol w:w="851"/>
        <w:gridCol w:w="794"/>
        <w:gridCol w:w="794"/>
        <w:gridCol w:w="794"/>
        <w:gridCol w:w="1587"/>
        <w:gridCol w:w="1588"/>
      </w:tblGrid>
      <w:tr w:rsidR="000C0B4C" w:rsidRPr="0029403D" w:rsidTr="002D3BD1">
        <w:trPr>
          <w:trHeight w:val="528"/>
        </w:trPr>
        <w:tc>
          <w:tcPr>
            <w:tcW w:w="1531" w:type="dxa"/>
            <w:vMerge w:val="restart"/>
            <w:vAlign w:val="center"/>
          </w:tcPr>
          <w:p w:rsidR="000C0B4C" w:rsidRPr="0029403D" w:rsidRDefault="000C0B4C" w:rsidP="001B37EE">
            <w:pPr>
              <w:jc w:val="center"/>
              <w:rPr>
                <w:i/>
                <w:sz w:val="20"/>
                <w:szCs w:val="20"/>
              </w:rPr>
            </w:pPr>
            <w:r w:rsidRPr="0029403D">
              <w:rPr>
                <w:i/>
                <w:sz w:val="20"/>
                <w:szCs w:val="20"/>
              </w:rPr>
              <w:t>Наименования дохода</w:t>
            </w:r>
          </w:p>
        </w:tc>
        <w:tc>
          <w:tcPr>
            <w:tcW w:w="2608"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FD3E42" w:rsidRDefault="000C0B4C" w:rsidP="00877B5F">
            <w:pPr>
              <w:spacing w:before="40"/>
              <w:jc w:val="center"/>
              <w:rPr>
                <w:i/>
                <w:spacing w:val="-4"/>
                <w:sz w:val="20"/>
                <w:szCs w:val="20"/>
              </w:rPr>
            </w:pPr>
            <w:r w:rsidRPr="00FD3E42">
              <w:rPr>
                <w:i/>
                <w:spacing w:val="-4"/>
                <w:sz w:val="20"/>
                <w:szCs w:val="20"/>
              </w:rPr>
              <w:t>Доля в общем объёме бе</w:t>
            </w:r>
            <w:r w:rsidRPr="00FD3E42">
              <w:rPr>
                <w:i/>
                <w:spacing w:val="-4"/>
                <w:sz w:val="20"/>
                <w:szCs w:val="20"/>
              </w:rPr>
              <w:t>з</w:t>
            </w:r>
            <w:r w:rsidRPr="00FD3E42">
              <w:rPr>
                <w:i/>
                <w:spacing w:val="-4"/>
                <w:sz w:val="20"/>
                <w:szCs w:val="20"/>
              </w:rPr>
              <w:t>возмездных поступлений</w:t>
            </w:r>
          </w:p>
        </w:tc>
        <w:tc>
          <w:tcPr>
            <w:tcW w:w="3175" w:type="dxa"/>
            <w:gridSpan w:val="2"/>
            <w:vAlign w:val="center"/>
          </w:tcPr>
          <w:p w:rsidR="000C0B4C" w:rsidRPr="0029403D" w:rsidRDefault="000C0B4C" w:rsidP="00350957">
            <w:pPr>
              <w:jc w:val="center"/>
              <w:rPr>
                <w:i/>
                <w:sz w:val="20"/>
                <w:szCs w:val="20"/>
              </w:rPr>
            </w:pPr>
            <w:r w:rsidRPr="0029403D">
              <w:rPr>
                <w:i/>
                <w:sz w:val="20"/>
                <w:szCs w:val="20"/>
              </w:rPr>
              <w:t>Абсолютный прирост (тыс. руб./проценты)</w:t>
            </w:r>
          </w:p>
        </w:tc>
      </w:tr>
      <w:tr w:rsidR="000C0B4C" w:rsidRPr="0029403D" w:rsidTr="002D3BD1">
        <w:trPr>
          <w:trHeight w:val="291"/>
        </w:trPr>
        <w:tc>
          <w:tcPr>
            <w:tcW w:w="1531" w:type="dxa"/>
            <w:vMerge/>
            <w:vAlign w:val="center"/>
          </w:tcPr>
          <w:p w:rsidR="000C0B4C" w:rsidRPr="0029403D" w:rsidRDefault="000C0B4C" w:rsidP="00877B5F">
            <w:pPr>
              <w:rPr>
                <w:i/>
                <w:sz w:val="20"/>
                <w:szCs w:val="20"/>
              </w:rPr>
            </w:pPr>
          </w:p>
        </w:tc>
        <w:tc>
          <w:tcPr>
            <w:tcW w:w="907" w:type="dxa"/>
            <w:vAlign w:val="center"/>
          </w:tcPr>
          <w:p w:rsidR="000C0B4C" w:rsidRPr="0029403D" w:rsidRDefault="0099504D" w:rsidP="00877B5F">
            <w:pPr>
              <w:jc w:val="center"/>
              <w:rPr>
                <w:i/>
                <w:sz w:val="20"/>
                <w:szCs w:val="20"/>
              </w:rPr>
            </w:pPr>
            <w:r>
              <w:rPr>
                <w:i/>
                <w:sz w:val="20"/>
                <w:szCs w:val="20"/>
              </w:rPr>
              <w:t>2013</w:t>
            </w:r>
          </w:p>
        </w:tc>
        <w:tc>
          <w:tcPr>
            <w:tcW w:w="850" w:type="dxa"/>
            <w:vAlign w:val="center"/>
          </w:tcPr>
          <w:p w:rsidR="000C0B4C" w:rsidRPr="0029403D" w:rsidRDefault="0099504D" w:rsidP="00877B5F">
            <w:pPr>
              <w:jc w:val="center"/>
              <w:rPr>
                <w:i/>
                <w:sz w:val="20"/>
                <w:szCs w:val="20"/>
              </w:rPr>
            </w:pPr>
            <w:r>
              <w:rPr>
                <w:i/>
                <w:sz w:val="20"/>
                <w:szCs w:val="20"/>
              </w:rPr>
              <w:t>2014</w:t>
            </w:r>
          </w:p>
        </w:tc>
        <w:tc>
          <w:tcPr>
            <w:tcW w:w="851" w:type="dxa"/>
            <w:vAlign w:val="center"/>
          </w:tcPr>
          <w:p w:rsidR="000C0B4C" w:rsidRPr="0029403D" w:rsidRDefault="0099504D" w:rsidP="00877B5F">
            <w:pPr>
              <w:jc w:val="center"/>
              <w:rPr>
                <w:i/>
                <w:sz w:val="20"/>
                <w:szCs w:val="20"/>
              </w:rPr>
            </w:pPr>
            <w:r>
              <w:rPr>
                <w:i/>
                <w:sz w:val="20"/>
                <w:szCs w:val="20"/>
              </w:rPr>
              <w:t>2015</w:t>
            </w:r>
          </w:p>
        </w:tc>
        <w:tc>
          <w:tcPr>
            <w:tcW w:w="794" w:type="dxa"/>
            <w:vAlign w:val="center"/>
          </w:tcPr>
          <w:p w:rsidR="000C0B4C" w:rsidRPr="0029403D" w:rsidRDefault="0099504D" w:rsidP="00877B5F">
            <w:pPr>
              <w:jc w:val="center"/>
              <w:rPr>
                <w:i/>
                <w:sz w:val="20"/>
                <w:szCs w:val="20"/>
              </w:rPr>
            </w:pPr>
            <w:r>
              <w:rPr>
                <w:i/>
                <w:sz w:val="20"/>
                <w:szCs w:val="20"/>
              </w:rPr>
              <w:t>2013</w:t>
            </w:r>
          </w:p>
        </w:tc>
        <w:tc>
          <w:tcPr>
            <w:tcW w:w="794" w:type="dxa"/>
            <w:vAlign w:val="center"/>
          </w:tcPr>
          <w:p w:rsidR="000C0B4C" w:rsidRPr="0029403D" w:rsidRDefault="0099504D" w:rsidP="00877B5F">
            <w:pPr>
              <w:jc w:val="center"/>
              <w:rPr>
                <w:i/>
                <w:sz w:val="20"/>
                <w:szCs w:val="20"/>
              </w:rPr>
            </w:pPr>
            <w:r>
              <w:rPr>
                <w:i/>
                <w:sz w:val="20"/>
                <w:szCs w:val="20"/>
              </w:rPr>
              <w:t>2014</w:t>
            </w:r>
          </w:p>
        </w:tc>
        <w:tc>
          <w:tcPr>
            <w:tcW w:w="794" w:type="dxa"/>
            <w:vAlign w:val="center"/>
          </w:tcPr>
          <w:p w:rsidR="000C0B4C" w:rsidRPr="0029403D" w:rsidRDefault="0099504D" w:rsidP="00877B5F">
            <w:pPr>
              <w:jc w:val="center"/>
              <w:rPr>
                <w:i/>
                <w:sz w:val="20"/>
                <w:szCs w:val="20"/>
              </w:rPr>
            </w:pPr>
            <w:r>
              <w:rPr>
                <w:i/>
                <w:sz w:val="20"/>
                <w:szCs w:val="20"/>
              </w:rPr>
              <w:t>2015</w:t>
            </w:r>
          </w:p>
        </w:tc>
        <w:tc>
          <w:tcPr>
            <w:tcW w:w="1587" w:type="dxa"/>
            <w:vAlign w:val="center"/>
          </w:tcPr>
          <w:p w:rsidR="000C0B4C" w:rsidRPr="0029403D" w:rsidRDefault="0099504D" w:rsidP="00877B5F">
            <w:pPr>
              <w:jc w:val="center"/>
              <w:rPr>
                <w:i/>
                <w:sz w:val="20"/>
                <w:szCs w:val="20"/>
              </w:rPr>
            </w:pPr>
            <w:r>
              <w:rPr>
                <w:i/>
                <w:sz w:val="20"/>
                <w:szCs w:val="20"/>
              </w:rPr>
              <w:t>2014</w:t>
            </w:r>
            <w:r w:rsidR="00350957">
              <w:rPr>
                <w:i/>
                <w:sz w:val="20"/>
                <w:szCs w:val="20"/>
              </w:rPr>
              <w:t xml:space="preserve"> к </w:t>
            </w:r>
            <w:r>
              <w:rPr>
                <w:i/>
                <w:sz w:val="20"/>
                <w:szCs w:val="20"/>
              </w:rPr>
              <w:t>2013</w:t>
            </w:r>
          </w:p>
        </w:tc>
        <w:tc>
          <w:tcPr>
            <w:tcW w:w="1588" w:type="dxa"/>
            <w:vAlign w:val="center"/>
          </w:tcPr>
          <w:p w:rsidR="000C0B4C" w:rsidRPr="0029403D" w:rsidRDefault="0099504D" w:rsidP="00877B5F">
            <w:pPr>
              <w:jc w:val="center"/>
              <w:rPr>
                <w:i/>
                <w:sz w:val="20"/>
                <w:szCs w:val="20"/>
              </w:rPr>
            </w:pPr>
            <w:r>
              <w:rPr>
                <w:i/>
                <w:sz w:val="20"/>
                <w:szCs w:val="20"/>
              </w:rPr>
              <w:t>2015</w:t>
            </w:r>
            <w:r w:rsidR="00350957">
              <w:rPr>
                <w:i/>
                <w:sz w:val="20"/>
                <w:szCs w:val="20"/>
              </w:rPr>
              <w:t xml:space="preserve"> к </w:t>
            </w:r>
            <w:r>
              <w:rPr>
                <w:i/>
                <w:sz w:val="20"/>
                <w:szCs w:val="20"/>
              </w:rPr>
              <w:t>2014</w:t>
            </w:r>
          </w:p>
        </w:tc>
      </w:tr>
      <w:tr w:rsidR="00424AD2" w:rsidRPr="0029403D" w:rsidTr="002D3BD1">
        <w:trPr>
          <w:trHeight w:val="283"/>
        </w:trPr>
        <w:tc>
          <w:tcPr>
            <w:tcW w:w="1531" w:type="dxa"/>
          </w:tcPr>
          <w:p w:rsidR="00424AD2" w:rsidRPr="00037D1B" w:rsidRDefault="00424AD2" w:rsidP="00EE1F95">
            <w:pPr>
              <w:spacing w:before="40" w:after="40"/>
              <w:rPr>
                <w:sz w:val="22"/>
                <w:szCs w:val="22"/>
              </w:rPr>
            </w:pPr>
            <w:r w:rsidRPr="00037D1B">
              <w:rPr>
                <w:sz w:val="22"/>
                <w:szCs w:val="22"/>
              </w:rPr>
              <w:t>Дотации</w:t>
            </w:r>
          </w:p>
        </w:tc>
        <w:tc>
          <w:tcPr>
            <w:tcW w:w="907" w:type="dxa"/>
            <w:vAlign w:val="center"/>
          </w:tcPr>
          <w:p w:rsidR="00424AD2" w:rsidRPr="00037D1B" w:rsidRDefault="00424AD2" w:rsidP="004537C6">
            <w:pPr>
              <w:spacing w:before="40" w:after="40"/>
              <w:jc w:val="center"/>
              <w:rPr>
                <w:sz w:val="22"/>
                <w:szCs w:val="22"/>
              </w:rPr>
            </w:pPr>
            <w:r>
              <w:rPr>
                <w:sz w:val="22"/>
                <w:szCs w:val="22"/>
              </w:rPr>
              <w:t>5365,5</w:t>
            </w:r>
          </w:p>
        </w:tc>
        <w:tc>
          <w:tcPr>
            <w:tcW w:w="850" w:type="dxa"/>
            <w:vAlign w:val="center"/>
          </w:tcPr>
          <w:p w:rsidR="00424AD2" w:rsidRPr="00037D1B" w:rsidRDefault="00424AD2" w:rsidP="004537C6">
            <w:pPr>
              <w:spacing w:before="40" w:after="40"/>
              <w:jc w:val="center"/>
              <w:rPr>
                <w:sz w:val="22"/>
                <w:szCs w:val="22"/>
              </w:rPr>
            </w:pPr>
            <w:r>
              <w:rPr>
                <w:sz w:val="22"/>
                <w:szCs w:val="22"/>
              </w:rPr>
              <w:t>6070,5</w:t>
            </w:r>
          </w:p>
        </w:tc>
        <w:tc>
          <w:tcPr>
            <w:tcW w:w="851" w:type="dxa"/>
            <w:vAlign w:val="center"/>
          </w:tcPr>
          <w:p w:rsidR="00424AD2" w:rsidRPr="00037D1B" w:rsidRDefault="00424AD2" w:rsidP="00EE1F95">
            <w:pPr>
              <w:spacing w:before="40" w:after="40"/>
              <w:jc w:val="center"/>
              <w:rPr>
                <w:sz w:val="22"/>
                <w:szCs w:val="22"/>
              </w:rPr>
            </w:pPr>
            <w:r>
              <w:rPr>
                <w:sz w:val="22"/>
                <w:szCs w:val="22"/>
              </w:rPr>
              <w:t>4445,5</w:t>
            </w:r>
          </w:p>
        </w:tc>
        <w:tc>
          <w:tcPr>
            <w:tcW w:w="794" w:type="dxa"/>
            <w:vAlign w:val="center"/>
          </w:tcPr>
          <w:p w:rsidR="00424AD2" w:rsidRPr="00037D1B" w:rsidRDefault="00424AD2" w:rsidP="004537C6">
            <w:pPr>
              <w:spacing w:before="40" w:after="40"/>
              <w:jc w:val="center"/>
              <w:rPr>
                <w:sz w:val="22"/>
                <w:szCs w:val="22"/>
              </w:rPr>
            </w:pPr>
            <w:r>
              <w:rPr>
                <w:sz w:val="22"/>
                <w:szCs w:val="22"/>
              </w:rPr>
              <w:t>49,0%</w:t>
            </w:r>
          </w:p>
        </w:tc>
        <w:tc>
          <w:tcPr>
            <w:tcW w:w="794" w:type="dxa"/>
            <w:vAlign w:val="center"/>
          </w:tcPr>
          <w:p w:rsidR="00424AD2" w:rsidRPr="00037D1B" w:rsidRDefault="00424AD2" w:rsidP="004537C6">
            <w:pPr>
              <w:spacing w:before="40" w:after="40"/>
              <w:jc w:val="center"/>
              <w:rPr>
                <w:sz w:val="22"/>
                <w:szCs w:val="22"/>
              </w:rPr>
            </w:pPr>
            <w:r>
              <w:rPr>
                <w:sz w:val="22"/>
                <w:szCs w:val="22"/>
              </w:rPr>
              <w:t>65,7%</w:t>
            </w:r>
          </w:p>
        </w:tc>
        <w:tc>
          <w:tcPr>
            <w:tcW w:w="794" w:type="dxa"/>
            <w:vAlign w:val="center"/>
          </w:tcPr>
          <w:p w:rsidR="00424AD2" w:rsidRPr="00037D1B" w:rsidRDefault="00424AD2" w:rsidP="00EE1F95">
            <w:pPr>
              <w:spacing w:before="40" w:after="40"/>
              <w:jc w:val="center"/>
              <w:rPr>
                <w:sz w:val="22"/>
                <w:szCs w:val="22"/>
              </w:rPr>
            </w:pPr>
            <w:r>
              <w:rPr>
                <w:sz w:val="22"/>
                <w:szCs w:val="22"/>
              </w:rPr>
              <w:t>52,4%</w:t>
            </w:r>
          </w:p>
        </w:tc>
        <w:tc>
          <w:tcPr>
            <w:tcW w:w="1587" w:type="dxa"/>
            <w:vAlign w:val="center"/>
          </w:tcPr>
          <w:p w:rsidR="00424AD2" w:rsidRPr="00F965B1" w:rsidRDefault="00424AD2" w:rsidP="004537C6">
            <w:pPr>
              <w:spacing w:before="40" w:after="40"/>
              <w:jc w:val="center"/>
              <w:rPr>
                <w:sz w:val="21"/>
                <w:szCs w:val="21"/>
              </w:rPr>
            </w:pPr>
            <w:r w:rsidRPr="00F965B1">
              <w:rPr>
                <w:sz w:val="21"/>
                <w:szCs w:val="21"/>
              </w:rPr>
              <w:t>705,0 / 13,1%</w:t>
            </w:r>
          </w:p>
        </w:tc>
        <w:tc>
          <w:tcPr>
            <w:tcW w:w="1588" w:type="dxa"/>
            <w:vAlign w:val="center"/>
          </w:tcPr>
          <w:p w:rsidR="00424AD2" w:rsidRPr="00F965B1" w:rsidRDefault="00424AD2" w:rsidP="00424AD2">
            <w:pPr>
              <w:spacing w:before="40" w:after="40"/>
              <w:jc w:val="center"/>
              <w:rPr>
                <w:spacing w:val="-2"/>
                <w:sz w:val="21"/>
                <w:szCs w:val="21"/>
              </w:rPr>
            </w:pPr>
            <w:r w:rsidRPr="00F965B1">
              <w:rPr>
                <w:spacing w:val="-2"/>
                <w:sz w:val="21"/>
                <w:szCs w:val="21"/>
              </w:rPr>
              <w:t>-</w:t>
            </w:r>
            <w:r>
              <w:rPr>
                <w:spacing w:val="-2"/>
                <w:sz w:val="21"/>
                <w:szCs w:val="21"/>
              </w:rPr>
              <w:t>1625</w:t>
            </w:r>
            <w:r w:rsidRPr="00F965B1">
              <w:rPr>
                <w:spacing w:val="-2"/>
                <w:sz w:val="21"/>
                <w:szCs w:val="21"/>
              </w:rPr>
              <w:t>,0 /-</w:t>
            </w:r>
            <w:r>
              <w:rPr>
                <w:spacing w:val="-2"/>
                <w:sz w:val="21"/>
                <w:szCs w:val="21"/>
              </w:rPr>
              <w:t>2</w:t>
            </w:r>
            <w:r w:rsidRPr="00F965B1">
              <w:rPr>
                <w:spacing w:val="-2"/>
                <w:sz w:val="21"/>
                <w:szCs w:val="21"/>
              </w:rPr>
              <w:t>6,8%</w:t>
            </w:r>
          </w:p>
        </w:tc>
      </w:tr>
      <w:tr w:rsidR="002D3BD1" w:rsidRPr="0029403D" w:rsidTr="002D3BD1">
        <w:trPr>
          <w:trHeight w:val="283"/>
        </w:trPr>
        <w:tc>
          <w:tcPr>
            <w:tcW w:w="1531" w:type="dxa"/>
          </w:tcPr>
          <w:p w:rsidR="002D3BD1" w:rsidRPr="00037D1B" w:rsidRDefault="002D3BD1" w:rsidP="00EE1F95">
            <w:pPr>
              <w:spacing w:before="40" w:after="40"/>
              <w:rPr>
                <w:sz w:val="22"/>
                <w:szCs w:val="22"/>
              </w:rPr>
            </w:pPr>
            <w:r w:rsidRPr="00037D1B">
              <w:rPr>
                <w:sz w:val="22"/>
                <w:szCs w:val="22"/>
              </w:rPr>
              <w:t>Субсидии</w:t>
            </w:r>
          </w:p>
        </w:tc>
        <w:tc>
          <w:tcPr>
            <w:tcW w:w="907" w:type="dxa"/>
            <w:vAlign w:val="center"/>
          </w:tcPr>
          <w:p w:rsidR="002D3BD1" w:rsidRPr="00037D1B" w:rsidRDefault="002D3BD1" w:rsidP="004537C6">
            <w:pPr>
              <w:spacing w:before="40" w:after="40"/>
              <w:jc w:val="center"/>
              <w:rPr>
                <w:sz w:val="22"/>
                <w:szCs w:val="22"/>
              </w:rPr>
            </w:pPr>
            <w:r>
              <w:rPr>
                <w:sz w:val="22"/>
                <w:szCs w:val="22"/>
              </w:rPr>
              <w:t>5397,1</w:t>
            </w:r>
          </w:p>
        </w:tc>
        <w:tc>
          <w:tcPr>
            <w:tcW w:w="850" w:type="dxa"/>
            <w:vAlign w:val="center"/>
          </w:tcPr>
          <w:p w:rsidR="002D3BD1" w:rsidRPr="00037D1B" w:rsidRDefault="002D3BD1" w:rsidP="004537C6">
            <w:pPr>
              <w:spacing w:before="40" w:after="40"/>
              <w:jc w:val="center"/>
              <w:rPr>
                <w:sz w:val="22"/>
                <w:szCs w:val="22"/>
              </w:rPr>
            </w:pPr>
            <w:r>
              <w:rPr>
                <w:sz w:val="22"/>
                <w:szCs w:val="22"/>
              </w:rPr>
              <w:t>2870,1</w:t>
            </w:r>
          </w:p>
        </w:tc>
        <w:tc>
          <w:tcPr>
            <w:tcW w:w="851" w:type="dxa"/>
            <w:vAlign w:val="center"/>
          </w:tcPr>
          <w:p w:rsidR="002D3BD1" w:rsidRPr="00037D1B" w:rsidRDefault="002D3BD1" w:rsidP="00EE1F95">
            <w:pPr>
              <w:spacing w:before="40" w:after="40"/>
              <w:jc w:val="center"/>
              <w:rPr>
                <w:sz w:val="22"/>
                <w:szCs w:val="22"/>
              </w:rPr>
            </w:pPr>
            <w:r>
              <w:rPr>
                <w:sz w:val="22"/>
                <w:szCs w:val="22"/>
              </w:rPr>
              <w:t>3178,0</w:t>
            </w:r>
          </w:p>
        </w:tc>
        <w:tc>
          <w:tcPr>
            <w:tcW w:w="794" w:type="dxa"/>
            <w:vAlign w:val="center"/>
          </w:tcPr>
          <w:p w:rsidR="002D3BD1" w:rsidRPr="00037D1B" w:rsidRDefault="002D3BD1" w:rsidP="004537C6">
            <w:pPr>
              <w:spacing w:before="40" w:after="40"/>
              <w:jc w:val="center"/>
              <w:rPr>
                <w:sz w:val="22"/>
                <w:szCs w:val="22"/>
              </w:rPr>
            </w:pPr>
            <w:r>
              <w:rPr>
                <w:sz w:val="22"/>
                <w:szCs w:val="22"/>
              </w:rPr>
              <w:t>49,2%</w:t>
            </w:r>
          </w:p>
        </w:tc>
        <w:tc>
          <w:tcPr>
            <w:tcW w:w="794" w:type="dxa"/>
            <w:vAlign w:val="center"/>
          </w:tcPr>
          <w:p w:rsidR="002D3BD1" w:rsidRPr="00037D1B" w:rsidRDefault="002D3BD1" w:rsidP="004537C6">
            <w:pPr>
              <w:spacing w:before="40" w:after="40"/>
              <w:jc w:val="center"/>
              <w:rPr>
                <w:sz w:val="22"/>
                <w:szCs w:val="22"/>
              </w:rPr>
            </w:pPr>
            <w:r>
              <w:rPr>
                <w:sz w:val="22"/>
                <w:szCs w:val="22"/>
              </w:rPr>
              <w:t>31,1%</w:t>
            </w:r>
          </w:p>
        </w:tc>
        <w:tc>
          <w:tcPr>
            <w:tcW w:w="794" w:type="dxa"/>
            <w:vAlign w:val="center"/>
          </w:tcPr>
          <w:p w:rsidR="002D3BD1" w:rsidRPr="00037D1B" w:rsidRDefault="002D3BD1" w:rsidP="00EE1F95">
            <w:pPr>
              <w:spacing w:before="40" w:after="40"/>
              <w:jc w:val="center"/>
              <w:rPr>
                <w:sz w:val="22"/>
                <w:szCs w:val="22"/>
              </w:rPr>
            </w:pPr>
            <w:r>
              <w:rPr>
                <w:sz w:val="22"/>
                <w:szCs w:val="22"/>
              </w:rPr>
              <w:t>37,5%</w:t>
            </w:r>
          </w:p>
        </w:tc>
        <w:tc>
          <w:tcPr>
            <w:tcW w:w="1587" w:type="dxa"/>
            <w:vAlign w:val="center"/>
          </w:tcPr>
          <w:p w:rsidR="002D3BD1" w:rsidRPr="00F965B1" w:rsidRDefault="002D3BD1" w:rsidP="004537C6">
            <w:pPr>
              <w:spacing w:before="40" w:after="40"/>
              <w:jc w:val="center"/>
              <w:rPr>
                <w:spacing w:val="-2"/>
                <w:sz w:val="21"/>
                <w:szCs w:val="21"/>
              </w:rPr>
            </w:pPr>
            <w:r w:rsidRPr="00F965B1">
              <w:rPr>
                <w:spacing w:val="-2"/>
                <w:sz w:val="21"/>
                <w:szCs w:val="21"/>
              </w:rPr>
              <w:t>-2527,0 /-46,8%</w:t>
            </w:r>
          </w:p>
        </w:tc>
        <w:tc>
          <w:tcPr>
            <w:tcW w:w="1588" w:type="dxa"/>
            <w:vAlign w:val="center"/>
          </w:tcPr>
          <w:p w:rsidR="002D3BD1" w:rsidRPr="00F965B1" w:rsidRDefault="007820F6" w:rsidP="00AB167E">
            <w:pPr>
              <w:spacing w:before="40" w:after="40"/>
              <w:jc w:val="center"/>
              <w:rPr>
                <w:spacing w:val="-2"/>
                <w:sz w:val="21"/>
                <w:szCs w:val="21"/>
              </w:rPr>
            </w:pPr>
            <w:r w:rsidRPr="00F965B1">
              <w:rPr>
                <w:spacing w:val="-2"/>
                <w:sz w:val="21"/>
                <w:szCs w:val="21"/>
              </w:rPr>
              <w:t>307,9 / 10,7%</w:t>
            </w:r>
          </w:p>
        </w:tc>
      </w:tr>
      <w:tr w:rsidR="002D3BD1" w:rsidRPr="0029403D" w:rsidTr="002D3BD1">
        <w:trPr>
          <w:trHeight w:val="283"/>
        </w:trPr>
        <w:tc>
          <w:tcPr>
            <w:tcW w:w="1531" w:type="dxa"/>
          </w:tcPr>
          <w:p w:rsidR="002D3BD1" w:rsidRPr="00037D1B" w:rsidRDefault="002D3BD1" w:rsidP="00EE1F95">
            <w:pPr>
              <w:spacing w:before="40" w:after="40"/>
              <w:rPr>
                <w:sz w:val="22"/>
                <w:szCs w:val="22"/>
              </w:rPr>
            </w:pPr>
            <w:r w:rsidRPr="00037D1B">
              <w:rPr>
                <w:sz w:val="22"/>
                <w:szCs w:val="22"/>
              </w:rPr>
              <w:t>Субвенции</w:t>
            </w:r>
          </w:p>
        </w:tc>
        <w:tc>
          <w:tcPr>
            <w:tcW w:w="907" w:type="dxa"/>
            <w:vAlign w:val="center"/>
          </w:tcPr>
          <w:p w:rsidR="002D3BD1" w:rsidRPr="00037D1B" w:rsidRDefault="002D3BD1" w:rsidP="004537C6">
            <w:pPr>
              <w:spacing w:before="40" w:after="40"/>
              <w:jc w:val="center"/>
              <w:rPr>
                <w:sz w:val="22"/>
                <w:szCs w:val="22"/>
              </w:rPr>
            </w:pPr>
            <w:r>
              <w:rPr>
                <w:sz w:val="22"/>
                <w:szCs w:val="22"/>
              </w:rPr>
              <w:t>66,1</w:t>
            </w:r>
          </w:p>
        </w:tc>
        <w:tc>
          <w:tcPr>
            <w:tcW w:w="850" w:type="dxa"/>
            <w:vAlign w:val="center"/>
          </w:tcPr>
          <w:p w:rsidR="002D3BD1" w:rsidRPr="00037D1B" w:rsidRDefault="002D3BD1" w:rsidP="004537C6">
            <w:pPr>
              <w:spacing w:before="40" w:after="40"/>
              <w:jc w:val="center"/>
              <w:rPr>
                <w:sz w:val="22"/>
                <w:szCs w:val="22"/>
              </w:rPr>
            </w:pPr>
            <w:r>
              <w:rPr>
                <w:sz w:val="22"/>
                <w:szCs w:val="22"/>
              </w:rPr>
              <w:t>72,8</w:t>
            </w:r>
          </w:p>
        </w:tc>
        <w:tc>
          <w:tcPr>
            <w:tcW w:w="851" w:type="dxa"/>
            <w:vAlign w:val="center"/>
          </w:tcPr>
          <w:p w:rsidR="002D3BD1" w:rsidRPr="00037D1B" w:rsidRDefault="002D3BD1" w:rsidP="00EE1F95">
            <w:pPr>
              <w:spacing w:before="40" w:after="40"/>
              <w:jc w:val="center"/>
              <w:rPr>
                <w:sz w:val="22"/>
                <w:szCs w:val="22"/>
              </w:rPr>
            </w:pPr>
            <w:r>
              <w:rPr>
                <w:sz w:val="22"/>
                <w:szCs w:val="22"/>
              </w:rPr>
              <w:t>77,5</w:t>
            </w:r>
          </w:p>
        </w:tc>
        <w:tc>
          <w:tcPr>
            <w:tcW w:w="794" w:type="dxa"/>
            <w:vAlign w:val="center"/>
          </w:tcPr>
          <w:p w:rsidR="002D3BD1" w:rsidRPr="00037D1B" w:rsidRDefault="002D3BD1" w:rsidP="004537C6">
            <w:pPr>
              <w:spacing w:before="40" w:after="40"/>
              <w:jc w:val="center"/>
              <w:rPr>
                <w:sz w:val="22"/>
                <w:szCs w:val="22"/>
              </w:rPr>
            </w:pPr>
            <w:r>
              <w:rPr>
                <w:sz w:val="22"/>
                <w:szCs w:val="22"/>
              </w:rPr>
              <w:t>0,6%</w:t>
            </w:r>
          </w:p>
        </w:tc>
        <w:tc>
          <w:tcPr>
            <w:tcW w:w="794" w:type="dxa"/>
            <w:vAlign w:val="center"/>
          </w:tcPr>
          <w:p w:rsidR="002D3BD1" w:rsidRPr="00037D1B" w:rsidRDefault="002D3BD1" w:rsidP="004537C6">
            <w:pPr>
              <w:spacing w:before="40" w:after="40"/>
              <w:jc w:val="center"/>
              <w:rPr>
                <w:sz w:val="22"/>
                <w:szCs w:val="22"/>
              </w:rPr>
            </w:pPr>
            <w:r>
              <w:rPr>
                <w:sz w:val="22"/>
                <w:szCs w:val="22"/>
              </w:rPr>
              <w:t>0,8%</w:t>
            </w:r>
          </w:p>
        </w:tc>
        <w:tc>
          <w:tcPr>
            <w:tcW w:w="794" w:type="dxa"/>
            <w:vAlign w:val="center"/>
          </w:tcPr>
          <w:p w:rsidR="002D3BD1" w:rsidRPr="00037D1B" w:rsidRDefault="002D3BD1" w:rsidP="00EE1F95">
            <w:pPr>
              <w:spacing w:before="40" w:after="40"/>
              <w:jc w:val="center"/>
              <w:rPr>
                <w:sz w:val="22"/>
                <w:szCs w:val="22"/>
              </w:rPr>
            </w:pPr>
            <w:r>
              <w:rPr>
                <w:sz w:val="22"/>
                <w:szCs w:val="22"/>
              </w:rPr>
              <w:t>0,9%</w:t>
            </w:r>
          </w:p>
        </w:tc>
        <w:tc>
          <w:tcPr>
            <w:tcW w:w="1587" w:type="dxa"/>
            <w:vAlign w:val="center"/>
          </w:tcPr>
          <w:p w:rsidR="002D3BD1" w:rsidRPr="00F965B1" w:rsidRDefault="002D3BD1" w:rsidP="004537C6">
            <w:pPr>
              <w:spacing w:before="40" w:after="40"/>
              <w:jc w:val="center"/>
              <w:rPr>
                <w:sz w:val="21"/>
                <w:szCs w:val="21"/>
              </w:rPr>
            </w:pPr>
            <w:r w:rsidRPr="00F965B1">
              <w:rPr>
                <w:sz w:val="21"/>
                <w:szCs w:val="21"/>
              </w:rPr>
              <w:t>6,7 / 10,1%</w:t>
            </w:r>
          </w:p>
        </w:tc>
        <w:tc>
          <w:tcPr>
            <w:tcW w:w="1588" w:type="dxa"/>
            <w:vAlign w:val="center"/>
          </w:tcPr>
          <w:p w:rsidR="002D3BD1" w:rsidRPr="00F965B1" w:rsidRDefault="007820F6" w:rsidP="00EE1F95">
            <w:pPr>
              <w:spacing w:before="40" w:after="40"/>
              <w:jc w:val="center"/>
              <w:rPr>
                <w:sz w:val="21"/>
                <w:szCs w:val="21"/>
              </w:rPr>
            </w:pPr>
            <w:r w:rsidRPr="00F965B1">
              <w:rPr>
                <w:sz w:val="21"/>
                <w:szCs w:val="21"/>
              </w:rPr>
              <w:t>4,7 / 6,5%</w:t>
            </w:r>
          </w:p>
        </w:tc>
      </w:tr>
      <w:tr w:rsidR="002D3BD1" w:rsidRPr="0029403D" w:rsidTr="002D3BD1">
        <w:trPr>
          <w:trHeight w:val="283"/>
        </w:trPr>
        <w:tc>
          <w:tcPr>
            <w:tcW w:w="1531" w:type="dxa"/>
          </w:tcPr>
          <w:p w:rsidR="002D3BD1" w:rsidRPr="00037D1B" w:rsidRDefault="002D3BD1" w:rsidP="00EE1F95">
            <w:pPr>
              <w:spacing w:before="40" w:after="40"/>
              <w:rPr>
                <w:sz w:val="22"/>
                <w:szCs w:val="22"/>
              </w:rPr>
            </w:pPr>
            <w:r>
              <w:rPr>
                <w:sz w:val="22"/>
                <w:szCs w:val="22"/>
              </w:rPr>
              <w:t>ИМБТ</w:t>
            </w:r>
          </w:p>
        </w:tc>
        <w:tc>
          <w:tcPr>
            <w:tcW w:w="907" w:type="dxa"/>
            <w:vAlign w:val="center"/>
          </w:tcPr>
          <w:p w:rsidR="002D3BD1" w:rsidRPr="00037D1B" w:rsidRDefault="002D3BD1" w:rsidP="004537C6">
            <w:pPr>
              <w:spacing w:before="40" w:after="40"/>
              <w:jc w:val="center"/>
              <w:rPr>
                <w:sz w:val="22"/>
                <w:szCs w:val="22"/>
              </w:rPr>
            </w:pPr>
            <w:r>
              <w:rPr>
                <w:sz w:val="22"/>
                <w:szCs w:val="22"/>
              </w:rPr>
              <w:t>131,9</w:t>
            </w:r>
          </w:p>
        </w:tc>
        <w:tc>
          <w:tcPr>
            <w:tcW w:w="850" w:type="dxa"/>
            <w:vAlign w:val="center"/>
          </w:tcPr>
          <w:p w:rsidR="002D3BD1" w:rsidRPr="00037D1B" w:rsidRDefault="002D3BD1" w:rsidP="004537C6">
            <w:pPr>
              <w:spacing w:before="40" w:after="40"/>
              <w:jc w:val="center"/>
              <w:rPr>
                <w:sz w:val="22"/>
                <w:szCs w:val="22"/>
              </w:rPr>
            </w:pPr>
            <w:r>
              <w:rPr>
                <w:sz w:val="22"/>
                <w:szCs w:val="22"/>
              </w:rPr>
              <w:t>227,3</w:t>
            </w:r>
          </w:p>
        </w:tc>
        <w:tc>
          <w:tcPr>
            <w:tcW w:w="851" w:type="dxa"/>
            <w:vAlign w:val="center"/>
          </w:tcPr>
          <w:p w:rsidR="002D3BD1" w:rsidRPr="00037D1B" w:rsidRDefault="002D3BD1" w:rsidP="00EE1F95">
            <w:pPr>
              <w:spacing w:before="40" w:after="40"/>
              <w:jc w:val="center"/>
              <w:rPr>
                <w:sz w:val="22"/>
                <w:szCs w:val="22"/>
              </w:rPr>
            </w:pPr>
            <w:r>
              <w:rPr>
                <w:sz w:val="22"/>
                <w:szCs w:val="22"/>
              </w:rPr>
              <w:t>776,7</w:t>
            </w:r>
          </w:p>
        </w:tc>
        <w:tc>
          <w:tcPr>
            <w:tcW w:w="794" w:type="dxa"/>
            <w:vAlign w:val="center"/>
          </w:tcPr>
          <w:p w:rsidR="002D3BD1" w:rsidRPr="00037D1B" w:rsidRDefault="002D3BD1" w:rsidP="004537C6">
            <w:pPr>
              <w:spacing w:before="40" w:after="40"/>
              <w:jc w:val="center"/>
              <w:rPr>
                <w:sz w:val="22"/>
                <w:szCs w:val="22"/>
              </w:rPr>
            </w:pPr>
            <w:r>
              <w:rPr>
                <w:sz w:val="22"/>
                <w:szCs w:val="22"/>
              </w:rPr>
              <w:t>1,2%</w:t>
            </w:r>
          </w:p>
        </w:tc>
        <w:tc>
          <w:tcPr>
            <w:tcW w:w="794" w:type="dxa"/>
            <w:vAlign w:val="center"/>
          </w:tcPr>
          <w:p w:rsidR="002D3BD1" w:rsidRPr="00037D1B" w:rsidRDefault="002D3BD1" w:rsidP="004537C6">
            <w:pPr>
              <w:spacing w:before="40" w:after="40"/>
              <w:jc w:val="center"/>
              <w:rPr>
                <w:sz w:val="22"/>
                <w:szCs w:val="22"/>
              </w:rPr>
            </w:pPr>
            <w:r>
              <w:rPr>
                <w:sz w:val="22"/>
                <w:szCs w:val="22"/>
              </w:rPr>
              <w:t>2,5%</w:t>
            </w:r>
          </w:p>
        </w:tc>
        <w:tc>
          <w:tcPr>
            <w:tcW w:w="794" w:type="dxa"/>
            <w:vAlign w:val="center"/>
          </w:tcPr>
          <w:p w:rsidR="002D3BD1" w:rsidRPr="00037D1B" w:rsidRDefault="002D3BD1" w:rsidP="00EE1F95">
            <w:pPr>
              <w:spacing w:before="40" w:after="40"/>
              <w:jc w:val="center"/>
              <w:rPr>
                <w:sz w:val="22"/>
                <w:szCs w:val="22"/>
              </w:rPr>
            </w:pPr>
            <w:r>
              <w:rPr>
                <w:sz w:val="22"/>
                <w:szCs w:val="22"/>
              </w:rPr>
              <w:t>9,2%</w:t>
            </w:r>
          </w:p>
        </w:tc>
        <w:tc>
          <w:tcPr>
            <w:tcW w:w="1587" w:type="dxa"/>
            <w:vAlign w:val="center"/>
          </w:tcPr>
          <w:p w:rsidR="002D3BD1" w:rsidRPr="00F965B1" w:rsidRDefault="002D3BD1" w:rsidP="004537C6">
            <w:pPr>
              <w:spacing w:before="40" w:after="40"/>
              <w:jc w:val="center"/>
              <w:rPr>
                <w:sz w:val="21"/>
                <w:szCs w:val="21"/>
              </w:rPr>
            </w:pPr>
            <w:r w:rsidRPr="00F965B1">
              <w:rPr>
                <w:sz w:val="21"/>
                <w:szCs w:val="21"/>
              </w:rPr>
              <w:t>95,4 / 72,3%</w:t>
            </w:r>
          </w:p>
        </w:tc>
        <w:tc>
          <w:tcPr>
            <w:tcW w:w="1588" w:type="dxa"/>
            <w:vAlign w:val="center"/>
          </w:tcPr>
          <w:p w:rsidR="002D3BD1" w:rsidRPr="00F965B1" w:rsidRDefault="007820F6" w:rsidP="00DC50CF">
            <w:pPr>
              <w:spacing w:before="40" w:after="40"/>
              <w:jc w:val="center"/>
              <w:rPr>
                <w:sz w:val="21"/>
                <w:szCs w:val="21"/>
              </w:rPr>
            </w:pPr>
            <w:r w:rsidRPr="00F965B1">
              <w:rPr>
                <w:sz w:val="21"/>
                <w:szCs w:val="21"/>
              </w:rPr>
              <w:t>549,4 / 241,7%</w:t>
            </w:r>
          </w:p>
        </w:tc>
      </w:tr>
      <w:tr w:rsidR="002D3BD1" w:rsidRPr="0029403D" w:rsidTr="002D3BD1">
        <w:tc>
          <w:tcPr>
            <w:tcW w:w="1531" w:type="dxa"/>
          </w:tcPr>
          <w:p w:rsidR="002D3BD1" w:rsidRPr="00037D1B" w:rsidRDefault="002D3BD1" w:rsidP="002E14C6">
            <w:pPr>
              <w:rPr>
                <w:b/>
                <w:sz w:val="22"/>
                <w:szCs w:val="22"/>
              </w:rPr>
            </w:pPr>
            <w:r w:rsidRPr="00037D1B">
              <w:rPr>
                <w:b/>
                <w:sz w:val="22"/>
                <w:szCs w:val="22"/>
              </w:rPr>
              <w:t>Итого бе</w:t>
            </w:r>
            <w:r w:rsidRPr="00037D1B">
              <w:rPr>
                <w:b/>
                <w:sz w:val="22"/>
                <w:szCs w:val="22"/>
              </w:rPr>
              <w:t>з</w:t>
            </w:r>
            <w:r w:rsidRPr="00037D1B">
              <w:rPr>
                <w:b/>
                <w:sz w:val="22"/>
                <w:szCs w:val="22"/>
              </w:rPr>
              <w:t>возмездных поступлений</w:t>
            </w:r>
          </w:p>
        </w:tc>
        <w:tc>
          <w:tcPr>
            <w:tcW w:w="907" w:type="dxa"/>
            <w:vAlign w:val="center"/>
          </w:tcPr>
          <w:p w:rsidR="002D3BD1" w:rsidRPr="00313DF1" w:rsidRDefault="002D3BD1" w:rsidP="004537C6">
            <w:pPr>
              <w:jc w:val="center"/>
              <w:rPr>
                <w:b/>
                <w:sz w:val="21"/>
                <w:szCs w:val="21"/>
              </w:rPr>
            </w:pPr>
            <w:r w:rsidRPr="00313DF1">
              <w:rPr>
                <w:b/>
                <w:sz w:val="21"/>
                <w:szCs w:val="21"/>
              </w:rPr>
              <w:t>10960,5</w:t>
            </w:r>
          </w:p>
        </w:tc>
        <w:tc>
          <w:tcPr>
            <w:tcW w:w="850" w:type="dxa"/>
            <w:vAlign w:val="center"/>
          </w:tcPr>
          <w:p w:rsidR="002D3BD1" w:rsidRPr="00AB167E" w:rsidRDefault="002D3BD1" w:rsidP="004537C6">
            <w:pPr>
              <w:jc w:val="center"/>
              <w:rPr>
                <w:b/>
                <w:sz w:val="22"/>
                <w:szCs w:val="22"/>
              </w:rPr>
            </w:pPr>
            <w:r w:rsidRPr="00AB167E">
              <w:rPr>
                <w:b/>
                <w:sz w:val="22"/>
                <w:szCs w:val="22"/>
              </w:rPr>
              <w:t>9240,7</w:t>
            </w:r>
          </w:p>
        </w:tc>
        <w:tc>
          <w:tcPr>
            <w:tcW w:w="851" w:type="dxa"/>
            <w:vAlign w:val="center"/>
          </w:tcPr>
          <w:p w:rsidR="002D3BD1" w:rsidRPr="00AB167E" w:rsidRDefault="002D3BD1" w:rsidP="00877B5F">
            <w:pPr>
              <w:jc w:val="center"/>
              <w:rPr>
                <w:b/>
                <w:sz w:val="22"/>
                <w:szCs w:val="22"/>
              </w:rPr>
            </w:pPr>
            <w:r>
              <w:rPr>
                <w:b/>
                <w:sz w:val="22"/>
                <w:szCs w:val="22"/>
              </w:rPr>
              <w:t>8477,7</w:t>
            </w:r>
          </w:p>
        </w:tc>
        <w:tc>
          <w:tcPr>
            <w:tcW w:w="794" w:type="dxa"/>
            <w:vAlign w:val="center"/>
          </w:tcPr>
          <w:p w:rsidR="002D3BD1" w:rsidRPr="00037D1B" w:rsidRDefault="002D3BD1" w:rsidP="00877B5F">
            <w:pPr>
              <w:jc w:val="center"/>
              <w:rPr>
                <w:b/>
                <w:sz w:val="22"/>
                <w:szCs w:val="22"/>
              </w:rPr>
            </w:pPr>
            <w:r w:rsidRPr="00037D1B">
              <w:rPr>
                <w:b/>
                <w:sz w:val="22"/>
                <w:szCs w:val="22"/>
              </w:rPr>
              <w:t>100%</w:t>
            </w:r>
          </w:p>
        </w:tc>
        <w:tc>
          <w:tcPr>
            <w:tcW w:w="794" w:type="dxa"/>
            <w:vAlign w:val="center"/>
          </w:tcPr>
          <w:p w:rsidR="002D3BD1" w:rsidRPr="00037D1B" w:rsidRDefault="002D3BD1" w:rsidP="00877B5F">
            <w:pPr>
              <w:jc w:val="center"/>
              <w:rPr>
                <w:b/>
                <w:sz w:val="22"/>
                <w:szCs w:val="22"/>
              </w:rPr>
            </w:pPr>
            <w:r w:rsidRPr="00037D1B">
              <w:rPr>
                <w:b/>
                <w:sz w:val="22"/>
                <w:szCs w:val="22"/>
              </w:rPr>
              <w:t>100%</w:t>
            </w:r>
          </w:p>
        </w:tc>
        <w:tc>
          <w:tcPr>
            <w:tcW w:w="794" w:type="dxa"/>
            <w:vAlign w:val="center"/>
          </w:tcPr>
          <w:p w:rsidR="002D3BD1" w:rsidRPr="00037D1B" w:rsidRDefault="002D3BD1" w:rsidP="00877B5F">
            <w:pPr>
              <w:jc w:val="center"/>
              <w:rPr>
                <w:b/>
                <w:sz w:val="22"/>
                <w:szCs w:val="22"/>
              </w:rPr>
            </w:pPr>
            <w:r w:rsidRPr="00037D1B">
              <w:rPr>
                <w:b/>
                <w:sz w:val="22"/>
                <w:szCs w:val="22"/>
              </w:rPr>
              <w:t>100%</w:t>
            </w:r>
          </w:p>
        </w:tc>
        <w:tc>
          <w:tcPr>
            <w:tcW w:w="1587" w:type="dxa"/>
            <w:vAlign w:val="center"/>
          </w:tcPr>
          <w:p w:rsidR="002D3BD1" w:rsidRPr="00F965B1" w:rsidRDefault="002D3BD1" w:rsidP="004537C6">
            <w:pPr>
              <w:jc w:val="center"/>
              <w:rPr>
                <w:b/>
                <w:sz w:val="21"/>
                <w:szCs w:val="21"/>
              </w:rPr>
            </w:pPr>
            <w:r w:rsidRPr="00F965B1">
              <w:rPr>
                <w:b/>
                <w:sz w:val="21"/>
                <w:szCs w:val="21"/>
              </w:rPr>
              <w:t>-1719,8 /</w:t>
            </w:r>
            <w:r w:rsidR="007820F6" w:rsidRPr="00F965B1">
              <w:rPr>
                <w:b/>
                <w:sz w:val="21"/>
                <w:szCs w:val="21"/>
              </w:rPr>
              <w:t xml:space="preserve"> </w:t>
            </w:r>
          </w:p>
          <w:p w:rsidR="002D3BD1" w:rsidRPr="00F965B1" w:rsidRDefault="002D3BD1" w:rsidP="004537C6">
            <w:pPr>
              <w:jc w:val="center"/>
              <w:rPr>
                <w:b/>
                <w:sz w:val="21"/>
                <w:szCs w:val="21"/>
              </w:rPr>
            </w:pPr>
            <w:r w:rsidRPr="00F965B1">
              <w:rPr>
                <w:b/>
                <w:sz w:val="21"/>
                <w:szCs w:val="21"/>
              </w:rPr>
              <w:t>-15,7%</w:t>
            </w:r>
          </w:p>
        </w:tc>
        <w:tc>
          <w:tcPr>
            <w:tcW w:w="1588" w:type="dxa"/>
            <w:vAlign w:val="center"/>
          </w:tcPr>
          <w:p w:rsidR="002D3BD1" w:rsidRPr="00F965B1" w:rsidRDefault="00424AD2" w:rsidP="00DC50CF">
            <w:pPr>
              <w:jc w:val="center"/>
              <w:rPr>
                <w:b/>
                <w:sz w:val="21"/>
                <w:szCs w:val="21"/>
              </w:rPr>
            </w:pPr>
            <w:r>
              <w:rPr>
                <w:b/>
                <w:sz w:val="21"/>
                <w:szCs w:val="21"/>
              </w:rPr>
              <w:t>-763,0 / -8,3%</w:t>
            </w:r>
          </w:p>
        </w:tc>
      </w:tr>
    </w:tbl>
    <w:p w:rsidR="005F6890" w:rsidRPr="0029403D" w:rsidRDefault="006D3BA6" w:rsidP="00E7329A">
      <w:pPr>
        <w:pStyle w:val="1"/>
      </w:pPr>
      <w:r>
        <w:t>4</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774845" w:rsidRPr="006518DC" w:rsidRDefault="00774845" w:rsidP="00774845">
      <w:pPr>
        <w:ind w:firstLine="567"/>
        <w:jc w:val="both"/>
      </w:pPr>
      <w:r w:rsidRPr="006518DC">
        <w:t xml:space="preserve">Местный бюджет на </w:t>
      </w:r>
      <w:r>
        <w:t>2015</w:t>
      </w:r>
      <w:r w:rsidRPr="006518DC">
        <w:t xml:space="preserve"> год по </w:t>
      </w:r>
      <w:r>
        <w:t>рас</w:t>
      </w:r>
      <w:r w:rsidRPr="006518DC">
        <w:t xml:space="preserve">ходам в объёме </w:t>
      </w:r>
      <w:r>
        <w:t xml:space="preserve">6505,89 </w:t>
      </w:r>
      <w:r w:rsidRPr="006518DC">
        <w:t>тыс. руб. утверждён реш</w:t>
      </w:r>
      <w:r w:rsidRPr="006518DC">
        <w:t>е</w:t>
      </w:r>
      <w:r w:rsidRPr="006518DC">
        <w:t>нием Совета депутатов Кубанского сельсовета Каргатского района Новосибирской области от</w:t>
      </w:r>
      <w:r>
        <w:t xml:space="preserve"> 23</w:t>
      </w:r>
      <w:r w:rsidRPr="006518DC">
        <w:t>.12.</w:t>
      </w:r>
      <w:r>
        <w:t>2014</w:t>
      </w:r>
      <w:r w:rsidRPr="006518DC">
        <w:t xml:space="preserve"> №</w:t>
      </w:r>
      <w:r>
        <w:t xml:space="preserve"> 116</w:t>
      </w:r>
      <w:r w:rsidRPr="006518DC">
        <w:t xml:space="preserve">. </w:t>
      </w:r>
    </w:p>
    <w:p w:rsidR="00774845" w:rsidRPr="005C769C" w:rsidRDefault="00774845" w:rsidP="00774845">
      <w:pPr>
        <w:spacing w:before="60"/>
        <w:ind w:firstLine="567"/>
        <w:jc w:val="both"/>
        <w:rPr>
          <w:b/>
          <w:i/>
        </w:rPr>
      </w:pPr>
      <w:r>
        <w:t>Информация о внесённых изменениях в р</w:t>
      </w:r>
      <w:r w:rsidRPr="006518DC">
        <w:t>еш</w:t>
      </w:r>
      <w:r>
        <w:t>ение</w:t>
      </w:r>
      <w:r w:rsidRPr="00961A67">
        <w:t xml:space="preserve"> </w:t>
      </w:r>
      <w:r w:rsidRPr="006518DC">
        <w:t>от</w:t>
      </w:r>
      <w:r>
        <w:t xml:space="preserve"> 23</w:t>
      </w:r>
      <w:r w:rsidRPr="006518DC">
        <w:t>.12.</w:t>
      </w:r>
      <w:r>
        <w:t>2014</w:t>
      </w:r>
      <w:r w:rsidRPr="006518DC">
        <w:t xml:space="preserve"> №</w:t>
      </w:r>
      <w:r>
        <w:t xml:space="preserve"> 116 отсутствует.</w:t>
      </w:r>
      <w:r w:rsidRPr="006518DC">
        <w:t xml:space="preserve"> </w:t>
      </w:r>
      <w:r>
        <w:t>Плановый показатель</w:t>
      </w:r>
      <w:r w:rsidRPr="006518DC">
        <w:t xml:space="preserve"> </w:t>
      </w:r>
      <w:r>
        <w:t>рас</w:t>
      </w:r>
      <w:r w:rsidRPr="006518DC">
        <w:t xml:space="preserve">ходов в отчёте об исполнении местного бюджета за </w:t>
      </w:r>
      <w:r>
        <w:t>2015</w:t>
      </w:r>
      <w:r w:rsidRPr="006518DC">
        <w:t xml:space="preserve"> год – </w:t>
      </w:r>
      <w:r>
        <w:t xml:space="preserve">12390,9 </w:t>
      </w:r>
      <w:r w:rsidRPr="006518DC">
        <w:t>тыс. руб.</w:t>
      </w:r>
      <w:r>
        <w:t xml:space="preserve">, что на </w:t>
      </w:r>
      <w:r w:rsidRPr="00774845">
        <w:t>5885,01</w:t>
      </w:r>
      <w:r>
        <w:t xml:space="preserve"> тыс. рублей больше утверждённых назначений решением о бюджете.</w:t>
      </w:r>
      <w:r w:rsidRPr="006518DC">
        <w:t xml:space="preserve"> </w:t>
      </w:r>
      <w:r w:rsidRPr="005C769C">
        <w:rPr>
          <w:b/>
          <w:i/>
        </w:rPr>
        <w:t xml:space="preserve">Тем самым </w:t>
      </w:r>
      <w:r>
        <w:rPr>
          <w:b/>
          <w:i/>
        </w:rPr>
        <w:t xml:space="preserve">не </w:t>
      </w:r>
      <w:r w:rsidRPr="005C769C">
        <w:rPr>
          <w:b/>
          <w:i/>
        </w:rPr>
        <w:t>выполняется статья 32 БК РФ:</w:t>
      </w:r>
    </w:p>
    <w:p w:rsidR="00774845" w:rsidRPr="006518DC" w:rsidRDefault="00774845" w:rsidP="00774845">
      <w:pPr>
        <w:autoSpaceDE w:val="0"/>
        <w:autoSpaceDN w:val="0"/>
        <w:adjustRightInd w:val="0"/>
        <w:spacing w:before="40"/>
        <w:ind w:firstLine="567"/>
        <w:jc w:val="both"/>
        <w:rPr>
          <w:i/>
          <w:sz w:val="20"/>
          <w:szCs w:val="20"/>
        </w:rPr>
      </w:pPr>
      <w:r w:rsidRPr="006518DC">
        <w:rPr>
          <w:i/>
          <w:sz w:val="20"/>
          <w:szCs w:val="20"/>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6518DC">
        <w:rPr>
          <w:i/>
          <w:sz w:val="20"/>
          <w:szCs w:val="20"/>
        </w:rPr>
        <w:t>о</w:t>
      </w:r>
      <w:r w:rsidRPr="006518DC">
        <w:rPr>
          <w:i/>
          <w:sz w:val="20"/>
          <w:szCs w:val="20"/>
        </w:rPr>
        <w:t>рядке и в полном объеме отражаются в соответствующих бюджетах».</w:t>
      </w:r>
    </w:p>
    <w:p w:rsidR="009434A6" w:rsidRDefault="00DB1053" w:rsidP="00FD3E42">
      <w:pPr>
        <w:spacing w:before="40"/>
        <w:ind w:firstLine="567"/>
        <w:jc w:val="both"/>
      </w:pPr>
      <w:r w:rsidRPr="0029403D">
        <w:t xml:space="preserve">Исполнение местного бюджета по расходам за </w:t>
      </w:r>
      <w:r w:rsidR="0099504D">
        <w:t>2015</w:t>
      </w:r>
      <w:r w:rsidRPr="0029403D">
        <w:t xml:space="preserve"> год составило </w:t>
      </w:r>
      <w:r w:rsidR="00FB05F9">
        <w:t>11575,7</w:t>
      </w:r>
      <w:r w:rsidRPr="0029403D">
        <w:t xml:space="preserve"> тыс. </w:t>
      </w:r>
      <w:r w:rsidR="00CA485C" w:rsidRPr="0029403D">
        <w:t>руб.</w:t>
      </w:r>
      <w:r w:rsidRPr="0029403D">
        <w:t xml:space="preserve"> или </w:t>
      </w:r>
      <w:r w:rsidR="00FB05F9">
        <w:t>93,4</w:t>
      </w:r>
      <w:r w:rsidRPr="0029403D">
        <w:t>% к плану</w:t>
      </w:r>
      <w:r w:rsidR="00667AE3">
        <w:t xml:space="preserve"> </w:t>
      </w:r>
      <w:r w:rsidR="00667AE3" w:rsidRPr="0029403D">
        <w:t>(</w:t>
      </w:r>
      <w:r w:rsidR="00D01A8F">
        <w:t>недоисполнение</w:t>
      </w:r>
      <w:r w:rsidR="00667AE3" w:rsidRPr="0029403D">
        <w:t xml:space="preserve"> – </w:t>
      </w:r>
      <w:r w:rsidR="00FB05F9">
        <w:t>815,2</w:t>
      </w:r>
      <w:r w:rsidR="00667AE3" w:rsidRPr="0029403D">
        <w:t xml:space="preserve"> тыс. руб.)</w:t>
      </w:r>
      <w:r w:rsidRPr="0029403D">
        <w:t>.</w:t>
      </w:r>
      <w:r w:rsidR="00DC50CF">
        <w:t xml:space="preserve"> </w:t>
      </w:r>
    </w:p>
    <w:p w:rsidR="00DB1053" w:rsidRPr="0029403D" w:rsidRDefault="009434A6" w:rsidP="00FD3E42">
      <w:pPr>
        <w:spacing w:before="40"/>
        <w:ind w:firstLine="567"/>
        <w:jc w:val="both"/>
      </w:pPr>
      <w:r w:rsidRPr="009434A6">
        <w:rPr>
          <w:i/>
        </w:rPr>
        <w:lastRenderedPageBreak/>
        <w:t xml:space="preserve">Ревизионная комиссия отмечает, что объём недоисполнения </w:t>
      </w:r>
      <w:r w:rsidR="008B2163">
        <w:rPr>
          <w:i/>
        </w:rPr>
        <w:t xml:space="preserve">практически </w:t>
      </w:r>
      <w:r w:rsidRPr="009434A6">
        <w:rPr>
          <w:i/>
        </w:rPr>
        <w:t>соотве</w:t>
      </w:r>
      <w:r w:rsidRPr="009434A6">
        <w:rPr>
          <w:i/>
        </w:rPr>
        <w:t>т</w:t>
      </w:r>
      <w:r w:rsidRPr="009434A6">
        <w:rPr>
          <w:i/>
        </w:rPr>
        <w:t xml:space="preserve">ствует </w:t>
      </w:r>
      <w:r w:rsidR="008B2163">
        <w:rPr>
          <w:i/>
        </w:rPr>
        <w:t xml:space="preserve">свободному </w:t>
      </w:r>
      <w:r w:rsidRPr="009434A6">
        <w:rPr>
          <w:i/>
        </w:rPr>
        <w:t>остатку средств на конец отчетного периода (согласно отчёту формы 0503150 «Баланс по операциям кассового обслуживания исполнения бюджета» остаток средств на 01.01.</w:t>
      </w:r>
      <w:r w:rsidR="0099504D">
        <w:rPr>
          <w:i/>
        </w:rPr>
        <w:t>2016</w:t>
      </w:r>
      <w:r w:rsidRPr="009434A6">
        <w:rPr>
          <w:i/>
        </w:rPr>
        <w:t xml:space="preserve"> – </w:t>
      </w:r>
      <w:r w:rsidR="008B2163">
        <w:rPr>
          <w:color w:val="000000"/>
        </w:rPr>
        <w:t>796,5</w:t>
      </w:r>
      <w:r w:rsidRPr="009434A6">
        <w:rPr>
          <w:i/>
        </w:rPr>
        <w:t xml:space="preserve"> руб</w:t>
      </w:r>
      <w:r>
        <w:rPr>
          <w:i/>
        </w:rPr>
        <w:t>.)</w:t>
      </w:r>
      <w:r w:rsidRPr="009434A6">
        <w:rPr>
          <w:i/>
        </w:rPr>
        <w:t xml:space="preserve">, </w:t>
      </w:r>
      <w:r w:rsidRPr="009434A6">
        <w:rPr>
          <w:b/>
          <w:i/>
        </w:rPr>
        <w:t xml:space="preserve">что позволяет сделать вывод о качестве </w:t>
      </w:r>
      <w:r w:rsidR="00AF05F7">
        <w:rPr>
          <w:b/>
          <w:i/>
        </w:rPr>
        <w:t>планиров</w:t>
      </w:r>
      <w:r w:rsidR="00AF05F7">
        <w:rPr>
          <w:b/>
          <w:i/>
        </w:rPr>
        <w:t>а</w:t>
      </w:r>
      <w:r w:rsidR="00AF05F7">
        <w:rPr>
          <w:b/>
          <w:i/>
        </w:rPr>
        <w:t xml:space="preserve">ния и </w:t>
      </w:r>
      <w:r w:rsidRPr="009434A6">
        <w:rPr>
          <w:b/>
          <w:i/>
        </w:rPr>
        <w:t>исполнения бюджета.</w:t>
      </w:r>
    </w:p>
    <w:p w:rsidR="00C62F03" w:rsidRPr="0029403D" w:rsidRDefault="00C62F03" w:rsidP="00AF4A3B">
      <w:pPr>
        <w:spacing w:before="60"/>
        <w:ind w:firstLine="567"/>
        <w:jc w:val="both"/>
      </w:pPr>
      <w:r w:rsidRPr="0029403D">
        <w:t xml:space="preserve">Информация о структуре и динамике расходов </w:t>
      </w:r>
      <w:r w:rsidR="00882C08" w:rsidRPr="0029403D">
        <w:t>местного бюджета</w:t>
      </w:r>
      <w:r w:rsidRPr="0029403D">
        <w:t xml:space="preserve"> в </w:t>
      </w:r>
      <w:r w:rsidR="0099504D">
        <w:t>2013</w:t>
      </w:r>
      <w:r w:rsidR="00D912C8" w:rsidRPr="0029403D">
        <w:t>-</w:t>
      </w:r>
      <w:r w:rsidR="0099504D">
        <w:t>2015</w:t>
      </w:r>
      <w:r w:rsidR="00D912C8" w:rsidRPr="0029403D">
        <w:t xml:space="preserve"> годах</w:t>
      </w:r>
      <w:r w:rsidRPr="0029403D">
        <w:t xml:space="preserve"> представлена в </w:t>
      </w:r>
      <w:r w:rsidR="00D912C8" w:rsidRPr="0029403D">
        <w:t xml:space="preserve">таблице </w:t>
      </w:r>
      <w:r w:rsidR="00350957">
        <w:t>4</w:t>
      </w:r>
      <w:r w:rsidRPr="0029403D">
        <w:t>.</w:t>
      </w:r>
    </w:p>
    <w:p w:rsidR="00D912C8" w:rsidRPr="0029403D" w:rsidRDefault="00D912C8" w:rsidP="00C4031D">
      <w:pPr>
        <w:spacing w:before="120" w:after="120"/>
        <w:ind w:firstLine="567"/>
        <w:jc w:val="center"/>
        <w:rPr>
          <w:sz w:val="22"/>
          <w:szCs w:val="22"/>
        </w:rPr>
      </w:pPr>
      <w:r w:rsidRPr="0029403D">
        <w:rPr>
          <w:sz w:val="22"/>
          <w:szCs w:val="22"/>
        </w:rPr>
        <w:t xml:space="preserve">Таблица </w:t>
      </w:r>
      <w:r w:rsidR="00350957">
        <w:rPr>
          <w:sz w:val="22"/>
          <w:szCs w:val="22"/>
        </w:rPr>
        <w:t>4</w:t>
      </w:r>
      <w:r w:rsidRPr="0029403D">
        <w:rPr>
          <w:sz w:val="22"/>
          <w:szCs w:val="22"/>
        </w:rPr>
        <w:t>. Анализ структуры расходов местного бюджета, тыс. руб.</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907"/>
        <w:gridCol w:w="907"/>
        <w:gridCol w:w="908"/>
        <w:gridCol w:w="794"/>
        <w:gridCol w:w="794"/>
        <w:gridCol w:w="794"/>
        <w:gridCol w:w="1247"/>
        <w:gridCol w:w="1247"/>
      </w:tblGrid>
      <w:tr w:rsidR="004B6B0C" w:rsidRPr="0029403D" w:rsidTr="00166A88">
        <w:trPr>
          <w:trHeight w:val="250"/>
        </w:trPr>
        <w:tc>
          <w:tcPr>
            <w:tcW w:w="2324" w:type="dxa"/>
            <w:vMerge w:val="restart"/>
          </w:tcPr>
          <w:p w:rsidR="004B6B0C" w:rsidRPr="0029403D" w:rsidRDefault="004B6B0C" w:rsidP="00FD3E42">
            <w:pPr>
              <w:spacing w:before="120"/>
              <w:jc w:val="center"/>
              <w:rPr>
                <w:i/>
                <w:sz w:val="20"/>
                <w:szCs w:val="20"/>
              </w:rPr>
            </w:pPr>
            <w:r w:rsidRPr="0029403D">
              <w:rPr>
                <w:i/>
                <w:sz w:val="20"/>
                <w:szCs w:val="20"/>
              </w:rPr>
              <w:t>Наименование статей расходов</w:t>
            </w:r>
          </w:p>
        </w:tc>
        <w:tc>
          <w:tcPr>
            <w:tcW w:w="2722"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FD3E42">
            <w:pPr>
              <w:spacing w:before="120"/>
              <w:jc w:val="center"/>
              <w:rPr>
                <w:i/>
                <w:sz w:val="20"/>
                <w:szCs w:val="20"/>
              </w:rPr>
            </w:pPr>
            <w:r w:rsidRPr="0029403D">
              <w:rPr>
                <w:i/>
                <w:sz w:val="20"/>
                <w:szCs w:val="20"/>
              </w:rPr>
              <w:t>Доля в общих расходах</w:t>
            </w:r>
          </w:p>
        </w:tc>
        <w:tc>
          <w:tcPr>
            <w:tcW w:w="2494" w:type="dxa"/>
            <w:gridSpan w:val="2"/>
            <w:vAlign w:val="center"/>
          </w:tcPr>
          <w:p w:rsidR="004B6B0C" w:rsidRPr="0029403D" w:rsidRDefault="004B6B0C" w:rsidP="00350957">
            <w:pPr>
              <w:jc w:val="center"/>
              <w:rPr>
                <w:i/>
                <w:sz w:val="20"/>
                <w:szCs w:val="20"/>
              </w:rPr>
            </w:pPr>
            <w:r w:rsidRPr="0029403D">
              <w:rPr>
                <w:i/>
                <w:sz w:val="20"/>
                <w:szCs w:val="20"/>
              </w:rPr>
              <w:t>Абсолютный прирост (тыс. руб./проценты)</w:t>
            </w:r>
          </w:p>
        </w:tc>
      </w:tr>
      <w:tr w:rsidR="004B6B0C" w:rsidRPr="0029403D" w:rsidTr="009F4283">
        <w:trPr>
          <w:trHeight w:val="250"/>
        </w:trPr>
        <w:tc>
          <w:tcPr>
            <w:tcW w:w="2324" w:type="dxa"/>
            <w:vMerge/>
          </w:tcPr>
          <w:p w:rsidR="004B6B0C" w:rsidRPr="0029403D" w:rsidRDefault="004B6B0C" w:rsidP="002E14C6">
            <w:pPr>
              <w:jc w:val="center"/>
              <w:rPr>
                <w:i/>
                <w:sz w:val="20"/>
                <w:szCs w:val="20"/>
              </w:rPr>
            </w:pPr>
          </w:p>
        </w:tc>
        <w:tc>
          <w:tcPr>
            <w:tcW w:w="907" w:type="dxa"/>
          </w:tcPr>
          <w:p w:rsidR="004B6B0C" w:rsidRPr="0029403D" w:rsidRDefault="0099504D" w:rsidP="00494098">
            <w:pPr>
              <w:spacing w:before="20"/>
              <w:jc w:val="center"/>
              <w:rPr>
                <w:i/>
                <w:sz w:val="20"/>
                <w:szCs w:val="20"/>
              </w:rPr>
            </w:pPr>
            <w:r>
              <w:rPr>
                <w:i/>
                <w:sz w:val="20"/>
                <w:szCs w:val="20"/>
              </w:rPr>
              <w:t>2013</w:t>
            </w:r>
          </w:p>
        </w:tc>
        <w:tc>
          <w:tcPr>
            <w:tcW w:w="907" w:type="dxa"/>
          </w:tcPr>
          <w:p w:rsidR="004B6B0C" w:rsidRPr="0029403D" w:rsidRDefault="0099504D" w:rsidP="00494098">
            <w:pPr>
              <w:spacing w:before="20"/>
              <w:jc w:val="center"/>
              <w:rPr>
                <w:i/>
                <w:sz w:val="20"/>
                <w:szCs w:val="20"/>
              </w:rPr>
            </w:pPr>
            <w:r>
              <w:rPr>
                <w:i/>
                <w:sz w:val="20"/>
                <w:szCs w:val="20"/>
              </w:rPr>
              <w:t>2014</w:t>
            </w:r>
          </w:p>
        </w:tc>
        <w:tc>
          <w:tcPr>
            <w:tcW w:w="908" w:type="dxa"/>
          </w:tcPr>
          <w:p w:rsidR="004B6B0C" w:rsidRPr="0029403D" w:rsidRDefault="0099504D" w:rsidP="00494098">
            <w:pPr>
              <w:spacing w:before="20"/>
              <w:jc w:val="center"/>
              <w:rPr>
                <w:i/>
                <w:sz w:val="20"/>
                <w:szCs w:val="20"/>
              </w:rPr>
            </w:pPr>
            <w:r>
              <w:rPr>
                <w:i/>
                <w:sz w:val="20"/>
                <w:szCs w:val="20"/>
              </w:rPr>
              <w:t>2015</w:t>
            </w:r>
          </w:p>
        </w:tc>
        <w:tc>
          <w:tcPr>
            <w:tcW w:w="794" w:type="dxa"/>
          </w:tcPr>
          <w:p w:rsidR="004B6B0C" w:rsidRPr="0029403D" w:rsidRDefault="0099504D" w:rsidP="002E14C6">
            <w:pPr>
              <w:spacing w:before="20"/>
              <w:jc w:val="center"/>
              <w:rPr>
                <w:i/>
                <w:sz w:val="20"/>
                <w:szCs w:val="20"/>
              </w:rPr>
            </w:pPr>
            <w:r>
              <w:rPr>
                <w:i/>
                <w:sz w:val="20"/>
                <w:szCs w:val="20"/>
              </w:rPr>
              <w:t>2013</w:t>
            </w:r>
          </w:p>
        </w:tc>
        <w:tc>
          <w:tcPr>
            <w:tcW w:w="794" w:type="dxa"/>
          </w:tcPr>
          <w:p w:rsidR="004B6B0C" w:rsidRPr="0029403D" w:rsidRDefault="0099504D" w:rsidP="002E14C6">
            <w:pPr>
              <w:spacing w:before="20"/>
              <w:jc w:val="center"/>
              <w:rPr>
                <w:i/>
                <w:sz w:val="20"/>
                <w:szCs w:val="20"/>
              </w:rPr>
            </w:pPr>
            <w:r>
              <w:rPr>
                <w:i/>
                <w:sz w:val="20"/>
                <w:szCs w:val="20"/>
              </w:rPr>
              <w:t>2014</w:t>
            </w:r>
          </w:p>
        </w:tc>
        <w:tc>
          <w:tcPr>
            <w:tcW w:w="794" w:type="dxa"/>
          </w:tcPr>
          <w:p w:rsidR="004B6B0C" w:rsidRPr="0029403D" w:rsidRDefault="0099504D" w:rsidP="002E14C6">
            <w:pPr>
              <w:spacing w:before="20"/>
              <w:jc w:val="center"/>
              <w:rPr>
                <w:i/>
                <w:sz w:val="20"/>
                <w:szCs w:val="20"/>
              </w:rPr>
            </w:pPr>
            <w:r>
              <w:rPr>
                <w:i/>
                <w:sz w:val="20"/>
                <w:szCs w:val="20"/>
              </w:rPr>
              <w:t>2015</w:t>
            </w:r>
          </w:p>
        </w:tc>
        <w:tc>
          <w:tcPr>
            <w:tcW w:w="1247" w:type="dxa"/>
          </w:tcPr>
          <w:p w:rsidR="004B6B0C" w:rsidRPr="00A163C1" w:rsidRDefault="0099504D" w:rsidP="002E14C6">
            <w:pPr>
              <w:spacing w:before="20"/>
              <w:jc w:val="center"/>
              <w:rPr>
                <w:i/>
                <w:sz w:val="20"/>
                <w:szCs w:val="20"/>
              </w:rPr>
            </w:pPr>
            <w:r>
              <w:rPr>
                <w:i/>
                <w:sz w:val="20"/>
                <w:szCs w:val="20"/>
              </w:rPr>
              <w:t>2014</w:t>
            </w:r>
            <w:r w:rsidR="00A163C1" w:rsidRPr="00A163C1">
              <w:rPr>
                <w:i/>
                <w:sz w:val="20"/>
                <w:szCs w:val="20"/>
              </w:rPr>
              <w:t xml:space="preserve"> к </w:t>
            </w:r>
            <w:r>
              <w:rPr>
                <w:i/>
                <w:sz w:val="20"/>
                <w:szCs w:val="20"/>
              </w:rPr>
              <w:t>2013</w:t>
            </w:r>
          </w:p>
        </w:tc>
        <w:tc>
          <w:tcPr>
            <w:tcW w:w="1247" w:type="dxa"/>
          </w:tcPr>
          <w:p w:rsidR="004B6B0C" w:rsidRPr="00A163C1" w:rsidRDefault="0099504D" w:rsidP="002E14C6">
            <w:pPr>
              <w:spacing w:before="20"/>
              <w:jc w:val="center"/>
              <w:rPr>
                <w:i/>
                <w:sz w:val="20"/>
                <w:szCs w:val="20"/>
              </w:rPr>
            </w:pPr>
            <w:r>
              <w:rPr>
                <w:i/>
                <w:sz w:val="20"/>
                <w:szCs w:val="20"/>
              </w:rPr>
              <w:t>2015</w:t>
            </w:r>
            <w:r w:rsidR="00A163C1" w:rsidRPr="00A163C1">
              <w:rPr>
                <w:i/>
                <w:sz w:val="20"/>
                <w:szCs w:val="20"/>
              </w:rPr>
              <w:t xml:space="preserve"> к </w:t>
            </w:r>
            <w:r>
              <w:rPr>
                <w:i/>
                <w:sz w:val="20"/>
                <w:szCs w:val="20"/>
              </w:rPr>
              <w:t>2014</w:t>
            </w:r>
          </w:p>
        </w:tc>
      </w:tr>
      <w:tr w:rsidR="00166A88" w:rsidRPr="005F617A" w:rsidTr="009F4283">
        <w:tc>
          <w:tcPr>
            <w:tcW w:w="2324" w:type="dxa"/>
            <w:vAlign w:val="center"/>
          </w:tcPr>
          <w:p w:rsidR="00166A88" w:rsidRPr="005F617A" w:rsidRDefault="00166A88" w:rsidP="002E14C6">
            <w:pPr>
              <w:rPr>
                <w:sz w:val="22"/>
                <w:szCs w:val="22"/>
              </w:rPr>
            </w:pPr>
            <w:r w:rsidRPr="005F617A">
              <w:rPr>
                <w:sz w:val="22"/>
                <w:szCs w:val="22"/>
              </w:rPr>
              <w:t>Общегосударстве</w:t>
            </w:r>
            <w:r w:rsidRPr="005F617A">
              <w:rPr>
                <w:sz w:val="22"/>
                <w:szCs w:val="22"/>
              </w:rPr>
              <w:t>н</w:t>
            </w:r>
            <w:r w:rsidRPr="005F617A">
              <w:rPr>
                <w:sz w:val="22"/>
                <w:szCs w:val="22"/>
              </w:rPr>
              <w:t>ные вопросы</w:t>
            </w:r>
          </w:p>
        </w:tc>
        <w:tc>
          <w:tcPr>
            <w:tcW w:w="907" w:type="dxa"/>
            <w:vAlign w:val="center"/>
          </w:tcPr>
          <w:p w:rsidR="00166A88" w:rsidRPr="005F617A" w:rsidRDefault="00166A88" w:rsidP="004537C6">
            <w:pPr>
              <w:jc w:val="center"/>
              <w:rPr>
                <w:sz w:val="22"/>
                <w:szCs w:val="22"/>
              </w:rPr>
            </w:pPr>
            <w:r>
              <w:rPr>
                <w:sz w:val="22"/>
                <w:szCs w:val="22"/>
              </w:rPr>
              <w:t>2348,4</w:t>
            </w:r>
          </w:p>
        </w:tc>
        <w:tc>
          <w:tcPr>
            <w:tcW w:w="907" w:type="dxa"/>
            <w:vAlign w:val="center"/>
          </w:tcPr>
          <w:p w:rsidR="00166A88" w:rsidRPr="005F617A" w:rsidRDefault="00166A88" w:rsidP="004537C6">
            <w:pPr>
              <w:jc w:val="center"/>
              <w:rPr>
                <w:sz w:val="22"/>
                <w:szCs w:val="22"/>
              </w:rPr>
            </w:pPr>
            <w:r>
              <w:rPr>
                <w:sz w:val="22"/>
                <w:szCs w:val="22"/>
              </w:rPr>
              <w:t>2286,8</w:t>
            </w:r>
          </w:p>
        </w:tc>
        <w:tc>
          <w:tcPr>
            <w:tcW w:w="908" w:type="dxa"/>
            <w:vAlign w:val="center"/>
          </w:tcPr>
          <w:p w:rsidR="00166A88" w:rsidRPr="005F617A" w:rsidRDefault="00166A88" w:rsidP="00381832">
            <w:pPr>
              <w:jc w:val="center"/>
              <w:rPr>
                <w:sz w:val="22"/>
                <w:szCs w:val="22"/>
              </w:rPr>
            </w:pPr>
            <w:r>
              <w:rPr>
                <w:sz w:val="22"/>
                <w:szCs w:val="22"/>
              </w:rPr>
              <w:t>2434,7</w:t>
            </w:r>
          </w:p>
        </w:tc>
        <w:tc>
          <w:tcPr>
            <w:tcW w:w="794" w:type="dxa"/>
          </w:tcPr>
          <w:p w:rsidR="00166A88" w:rsidRPr="005F617A" w:rsidRDefault="00166A88" w:rsidP="004537C6">
            <w:pPr>
              <w:spacing w:before="120"/>
              <w:jc w:val="center"/>
              <w:rPr>
                <w:sz w:val="22"/>
                <w:szCs w:val="22"/>
              </w:rPr>
            </w:pPr>
            <w:r>
              <w:rPr>
                <w:sz w:val="22"/>
                <w:szCs w:val="22"/>
              </w:rPr>
              <w:t>19,8%</w:t>
            </w:r>
          </w:p>
        </w:tc>
        <w:tc>
          <w:tcPr>
            <w:tcW w:w="794" w:type="dxa"/>
          </w:tcPr>
          <w:p w:rsidR="00166A88" w:rsidRPr="005F617A" w:rsidRDefault="00166A88" w:rsidP="004537C6">
            <w:pPr>
              <w:spacing w:before="120"/>
              <w:jc w:val="center"/>
              <w:rPr>
                <w:sz w:val="22"/>
                <w:szCs w:val="22"/>
              </w:rPr>
            </w:pPr>
            <w:r>
              <w:rPr>
                <w:sz w:val="22"/>
                <w:szCs w:val="22"/>
              </w:rPr>
              <w:t>22,8%</w:t>
            </w:r>
          </w:p>
        </w:tc>
        <w:tc>
          <w:tcPr>
            <w:tcW w:w="794" w:type="dxa"/>
          </w:tcPr>
          <w:p w:rsidR="00166A88" w:rsidRPr="005F617A" w:rsidRDefault="00600821" w:rsidP="003D7C34">
            <w:pPr>
              <w:spacing w:before="120"/>
              <w:jc w:val="center"/>
              <w:rPr>
                <w:sz w:val="22"/>
                <w:szCs w:val="22"/>
              </w:rPr>
            </w:pPr>
            <w:r>
              <w:rPr>
                <w:sz w:val="22"/>
                <w:szCs w:val="22"/>
              </w:rPr>
              <w:t>21,0%</w:t>
            </w:r>
          </w:p>
        </w:tc>
        <w:tc>
          <w:tcPr>
            <w:tcW w:w="1247" w:type="dxa"/>
            <w:vAlign w:val="center"/>
          </w:tcPr>
          <w:p w:rsidR="00166A88" w:rsidRPr="0043088A" w:rsidRDefault="00166A88" w:rsidP="004537C6">
            <w:pPr>
              <w:jc w:val="center"/>
              <w:rPr>
                <w:sz w:val="21"/>
                <w:szCs w:val="21"/>
              </w:rPr>
            </w:pPr>
            <w:r w:rsidRPr="0043088A">
              <w:rPr>
                <w:sz w:val="21"/>
                <w:szCs w:val="21"/>
              </w:rPr>
              <w:t xml:space="preserve">-61,6 / </w:t>
            </w:r>
          </w:p>
          <w:p w:rsidR="00166A88" w:rsidRPr="0043088A" w:rsidRDefault="00166A88" w:rsidP="004537C6">
            <w:pPr>
              <w:jc w:val="center"/>
              <w:rPr>
                <w:sz w:val="21"/>
                <w:szCs w:val="21"/>
              </w:rPr>
            </w:pPr>
            <w:r w:rsidRPr="0043088A">
              <w:rPr>
                <w:sz w:val="21"/>
                <w:szCs w:val="21"/>
              </w:rPr>
              <w:t>-2,6%</w:t>
            </w:r>
          </w:p>
        </w:tc>
        <w:tc>
          <w:tcPr>
            <w:tcW w:w="1247" w:type="dxa"/>
            <w:vAlign w:val="center"/>
          </w:tcPr>
          <w:p w:rsidR="00166A88" w:rsidRPr="0043088A" w:rsidRDefault="00712E21" w:rsidP="0037578B">
            <w:pPr>
              <w:jc w:val="center"/>
              <w:rPr>
                <w:sz w:val="21"/>
                <w:szCs w:val="21"/>
              </w:rPr>
            </w:pPr>
            <w:r w:rsidRPr="0043088A">
              <w:rPr>
                <w:sz w:val="21"/>
                <w:szCs w:val="21"/>
              </w:rPr>
              <w:t>147,9</w:t>
            </w:r>
            <w:r w:rsidR="00166A88" w:rsidRPr="0043088A">
              <w:rPr>
                <w:sz w:val="21"/>
                <w:szCs w:val="21"/>
              </w:rPr>
              <w:t xml:space="preserve"> / </w:t>
            </w:r>
          </w:p>
          <w:p w:rsidR="00166A88" w:rsidRPr="0043088A" w:rsidRDefault="00712E21" w:rsidP="0037578B">
            <w:pPr>
              <w:jc w:val="center"/>
              <w:rPr>
                <w:sz w:val="21"/>
                <w:szCs w:val="21"/>
              </w:rPr>
            </w:pPr>
            <w:r w:rsidRPr="0043088A">
              <w:rPr>
                <w:sz w:val="21"/>
                <w:szCs w:val="21"/>
              </w:rPr>
              <w:t>6,5</w:t>
            </w:r>
            <w:r w:rsidR="00166A88" w:rsidRPr="0043088A">
              <w:rPr>
                <w:sz w:val="21"/>
                <w:szCs w:val="21"/>
              </w:rPr>
              <w:t>%</w:t>
            </w:r>
          </w:p>
        </w:tc>
      </w:tr>
      <w:tr w:rsidR="00166A88" w:rsidRPr="005F617A" w:rsidTr="009F4283">
        <w:tc>
          <w:tcPr>
            <w:tcW w:w="2324" w:type="dxa"/>
          </w:tcPr>
          <w:p w:rsidR="00166A88" w:rsidRPr="00FD3E42" w:rsidRDefault="00166A88" w:rsidP="00FD3E42">
            <w:pPr>
              <w:spacing w:before="60" w:after="60"/>
              <w:rPr>
                <w:spacing w:val="-4"/>
                <w:sz w:val="22"/>
                <w:szCs w:val="22"/>
              </w:rPr>
            </w:pPr>
            <w:r w:rsidRPr="00FD3E42">
              <w:rPr>
                <w:spacing w:val="-4"/>
                <w:sz w:val="22"/>
                <w:szCs w:val="22"/>
              </w:rPr>
              <w:t>Национальная оборона</w:t>
            </w:r>
          </w:p>
        </w:tc>
        <w:tc>
          <w:tcPr>
            <w:tcW w:w="907" w:type="dxa"/>
            <w:vAlign w:val="center"/>
          </w:tcPr>
          <w:p w:rsidR="00166A88" w:rsidRPr="005F617A" w:rsidRDefault="00166A88" w:rsidP="004537C6">
            <w:pPr>
              <w:spacing w:before="60" w:after="60"/>
              <w:jc w:val="center"/>
              <w:rPr>
                <w:sz w:val="22"/>
                <w:szCs w:val="22"/>
              </w:rPr>
            </w:pPr>
            <w:r>
              <w:rPr>
                <w:sz w:val="22"/>
                <w:szCs w:val="22"/>
              </w:rPr>
              <w:t>66,0</w:t>
            </w:r>
          </w:p>
        </w:tc>
        <w:tc>
          <w:tcPr>
            <w:tcW w:w="907" w:type="dxa"/>
            <w:vAlign w:val="center"/>
          </w:tcPr>
          <w:p w:rsidR="00166A88" w:rsidRPr="005F617A" w:rsidRDefault="00166A88" w:rsidP="004537C6">
            <w:pPr>
              <w:spacing w:before="60" w:after="60"/>
              <w:jc w:val="center"/>
              <w:rPr>
                <w:sz w:val="22"/>
                <w:szCs w:val="22"/>
              </w:rPr>
            </w:pPr>
            <w:r>
              <w:rPr>
                <w:sz w:val="22"/>
                <w:szCs w:val="22"/>
              </w:rPr>
              <w:t>72,7</w:t>
            </w:r>
          </w:p>
        </w:tc>
        <w:tc>
          <w:tcPr>
            <w:tcW w:w="908" w:type="dxa"/>
            <w:vAlign w:val="center"/>
          </w:tcPr>
          <w:p w:rsidR="00166A88" w:rsidRPr="005F617A" w:rsidRDefault="00166A88" w:rsidP="00FD3E42">
            <w:pPr>
              <w:spacing w:before="60" w:after="60"/>
              <w:jc w:val="center"/>
              <w:rPr>
                <w:sz w:val="22"/>
                <w:szCs w:val="22"/>
              </w:rPr>
            </w:pPr>
            <w:r>
              <w:rPr>
                <w:sz w:val="22"/>
                <w:szCs w:val="22"/>
              </w:rPr>
              <w:t>77,4</w:t>
            </w:r>
          </w:p>
        </w:tc>
        <w:tc>
          <w:tcPr>
            <w:tcW w:w="794" w:type="dxa"/>
          </w:tcPr>
          <w:p w:rsidR="00166A88" w:rsidRPr="005F617A" w:rsidRDefault="00166A88" w:rsidP="004537C6">
            <w:pPr>
              <w:spacing w:before="60" w:after="60"/>
              <w:jc w:val="center"/>
              <w:rPr>
                <w:sz w:val="22"/>
                <w:szCs w:val="22"/>
              </w:rPr>
            </w:pPr>
            <w:r>
              <w:rPr>
                <w:sz w:val="22"/>
                <w:szCs w:val="22"/>
              </w:rPr>
              <w:t>0,6%</w:t>
            </w:r>
          </w:p>
        </w:tc>
        <w:tc>
          <w:tcPr>
            <w:tcW w:w="794" w:type="dxa"/>
          </w:tcPr>
          <w:p w:rsidR="00166A88" w:rsidRPr="005F617A" w:rsidRDefault="00166A88" w:rsidP="004537C6">
            <w:pPr>
              <w:spacing w:before="60" w:after="60"/>
              <w:jc w:val="center"/>
              <w:rPr>
                <w:sz w:val="22"/>
                <w:szCs w:val="22"/>
              </w:rPr>
            </w:pPr>
            <w:r>
              <w:rPr>
                <w:sz w:val="22"/>
                <w:szCs w:val="22"/>
              </w:rPr>
              <w:t>0,7%</w:t>
            </w:r>
          </w:p>
        </w:tc>
        <w:tc>
          <w:tcPr>
            <w:tcW w:w="794" w:type="dxa"/>
          </w:tcPr>
          <w:p w:rsidR="00166A88" w:rsidRPr="005F617A" w:rsidRDefault="00600821" w:rsidP="00FD3E42">
            <w:pPr>
              <w:spacing w:before="60" w:after="60"/>
              <w:jc w:val="center"/>
              <w:rPr>
                <w:sz w:val="22"/>
                <w:szCs w:val="22"/>
              </w:rPr>
            </w:pPr>
            <w:r>
              <w:rPr>
                <w:sz w:val="22"/>
                <w:szCs w:val="22"/>
              </w:rPr>
              <w:t>0,7%</w:t>
            </w:r>
          </w:p>
        </w:tc>
        <w:tc>
          <w:tcPr>
            <w:tcW w:w="1247" w:type="dxa"/>
            <w:vAlign w:val="center"/>
          </w:tcPr>
          <w:p w:rsidR="00166A88" w:rsidRPr="0043088A" w:rsidRDefault="00166A88" w:rsidP="004537C6">
            <w:pPr>
              <w:spacing w:before="60" w:after="60"/>
              <w:jc w:val="center"/>
              <w:rPr>
                <w:sz w:val="21"/>
                <w:szCs w:val="21"/>
              </w:rPr>
            </w:pPr>
            <w:r w:rsidRPr="0043088A">
              <w:rPr>
                <w:sz w:val="21"/>
                <w:szCs w:val="21"/>
              </w:rPr>
              <w:t>6,7 / 10,2%</w:t>
            </w:r>
          </w:p>
        </w:tc>
        <w:tc>
          <w:tcPr>
            <w:tcW w:w="1247" w:type="dxa"/>
            <w:vAlign w:val="center"/>
          </w:tcPr>
          <w:p w:rsidR="00166A88" w:rsidRPr="0043088A" w:rsidRDefault="00712E21" w:rsidP="00712E21">
            <w:pPr>
              <w:spacing w:before="60" w:after="60"/>
              <w:jc w:val="center"/>
              <w:rPr>
                <w:sz w:val="21"/>
                <w:szCs w:val="21"/>
              </w:rPr>
            </w:pPr>
            <w:r w:rsidRPr="0043088A">
              <w:rPr>
                <w:sz w:val="21"/>
                <w:szCs w:val="21"/>
              </w:rPr>
              <w:t>4</w:t>
            </w:r>
            <w:r w:rsidR="00166A88" w:rsidRPr="0043088A">
              <w:rPr>
                <w:sz w:val="21"/>
                <w:szCs w:val="21"/>
              </w:rPr>
              <w:t xml:space="preserve">,7 / </w:t>
            </w:r>
            <w:r w:rsidRPr="0043088A">
              <w:rPr>
                <w:sz w:val="21"/>
                <w:szCs w:val="21"/>
              </w:rPr>
              <w:t>6,5</w:t>
            </w:r>
            <w:r w:rsidR="00166A88" w:rsidRPr="0043088A">
              <w:rPr>
                <w:sz w:val="21"/>
                <w:szCs w:val="21"/>
              </w:rPr>
              <w:t>%</w:t>
            </w:r>
          </w:p>
        </w:tc>
      </w:tr>
      <w:tr w:rsidR="00166A88" w:rsidRPr="005F617A" w:rsidTr="009F4283">
        <w:tc>
          <w:tcPr>
            <w:tcW w:w="2324" w:type="dxa"/>
          </w:tcPr>
          <w:p w:rsidR="00166A88" w:rsidRPr="00BA6FA3" w:rsidRDefault="00166A88" w:rsidP="002E14C6">
            <w:pPr>
              <w:rPr>
                <w:sz w:val="22"/>
                <w:szCs w:val="22"/>
              </w:rPr>
            </w:pPr>
            <w:r w:rsidRPr="00BA6FA3">
              <w:rPr>
                <w:sz w:val="22"/>
                <w:szCs w:val="22"/>
              </w:rPr>
              <w:t>Национальная бе</w:t>
            </w:r>
            <w:r w:rsidRPr="00BA6FA3">
              <w:rPr>
                <w:sz w:val="22"/>
                <w:szCs w:val="22"/>
              </w:rPr>
              <w:t>з</w:t>
            </w:r>
            <w:r w:rsidRPr="00BA6FA3">
              <w:rPr>
                <w:sz w:val="22"/>
                <w:szCs w:val="22"/>
              </w:rPr>
              <w:t>опасность и прав</w:t>
            </w:r>
            <w:r w:rsidRPr="00BA6FA3">
              <w:rPr>
                <w:sz w:val="22"/>
                <w:szCs w:val="22"/>
              </w:rPr>
              <w:t>о</w:t>
            </w:r>
            <w:r w:rsidRPr="00BA6FA3">
              <w:rPr>
                <w:sz w:val="22"/>
                <w:szCs w:val="22"/>
              </w:rPr>
              <w:t>охранительная де</w:t>
            </w:r>
            <w:r w:rsidRPr="00BA6FA3">
              <w:rPr>
                <w:sz w:val="22"/>
                <w:szCs w:val="22"/>
              </w:rPr>
              <w:t>я</w:t>
            </w:r>
            <w:r w:rsidRPr="00BA6FA3">
              <w:rPr>
                <w:sz w:val="22"/>
                <w:szCs w:val="22"/>
              </w:rPr>
              <w:t>тельность</w:t>
            </w:r>
          </w:p>
        </w:tc>
        <w:tc>
          <w:tcPr>
            <w:tcW w:w="907" w:type="dxa"/>
            <w:vAlign w:val="center"/>
          </w:tcPr>
          <w:p w:rsidR="00166A88" w:rsidRPr="005F617A" w:rsidRDefault="00166A88" w:rsidP="004537C6">
            <w:pPr>
              <w:jc w:val="center"/>
              <w:rPr>
                <w:sz w:val="22"/>
                <w:szCs w:val="22"/>
              </w:rPr>
            </w:pPr>
            <w:r>
              <w:rPr>
                <w:sz w:val="22"/>
                <w:szCs w:val="22"/>
              </w:rPr>
              <w:t>141,7</w:t>
            </w:r>
          </w:p>
        </w:tc>
        <w:tc>
          <w:tcPr>
            <w:tcW w:w="907" w:type="dxa"/>
            <w:vAlign w:val="center"/>
          </w:tcPr>
          <w:p w:rsidR="00166A88" w:rsidRPr="005F617A" w:rsidRDefault="00166A88" w:rsidP="004537C6">
            <w:pPr>
              <w:jc w:val="center"/>
              <w:rPr>
                <w:sz w:val="22"/>
                <w:szCs w:val="22"/>
              </w:rPr>
            </w:pPr>
            <w:r>
              <w:rPr>
                <w:sz w:val="22"/>
                <w:szCs w:val="22"/>
              </w:rPr>
              <w:t>127,5</w:t>
            </w:r>
          </w:p>
        </w:tc>
        <w:tc>
          <w:tcPr>
            <w:tcW w:w="908" w:type="dxa"/>
            <w:vAlign w:val="center"/>
          </w:tcPr>
          <w:p w:rsidR="00166A88" w:rsidRPr="005F617A" w:rsidRDefault="00166A88" w:rsidP="002E14C6">
            <w:pPr>
              <w:jc w:val="center"/>
              <w:rPr>
                <w:sz w:val="22"/>
                <w:szCs w:val="22"/>
              </w:rPr>
            </w:pPr>
            <w:r>
              <w:rPr>
                <w:sz w:val="22"/>
                <w:szCs w:val="22"/>
              </w:rPr>
              <w:t>13,7</w:t>
            </w:r>
          </w:p>
        </w:tc>
        <w:tc>
          <w:tcPr>
            <w:tcW w:w="794" w:type="dxa"/>
          </w:tcPr>
          <w:p w:rsidR="00166A88" w:rsidRPr="005F617A" w:rsidRDefault="00166A88" w:rsidP="004537C6">
            <w:pPr>
              <w:spacing w:before="360"/>
              <w:jc w:val="center"/>
              <w:rPr>
                <w:sz w:val="22"/>
                <w:szCs w:val="22"/>
              </w:rPr>
            </w:pPr>
            <w:r>
              <w:rPr>
                <w:sz w:val="22"/>
                <w:szCs w:val="22"/>
              </w:rPr>
              <w:t>1,2%</w:t>
            </w:r>
          </w:p>
        </w:tc>
        <w:tc>
          <w:tcPr>
            <w:tcW w:w="794" w:type="dxa"/>
          </w:tcPr>
          <w:p w:rsidR="00166A88" w:rsidRPr="005F617A" w:rsidRDefault="00166A88" w:rsidP="004537C6">
            <w:pPr>
              <w:spacing w:before="360"/>
              <w:jc w:val="center"/>
              <w:rPr>
                <w:sz w:val="22"/>
                <w:szCs w:val="22"/>
              </w:rPr>
            </w:pPr>
            <w:r>
              <w:rPr>
                <w:sz w:val="22"/>
                <w:szCs w:val="22"/>
              </w:rPr>
              <w:t>1,3%</w:t>
            </w:r>
          </w:p>
        </w:tc>
        <w:tc>
          <w:tcPr>
            <w:tcW w:w="794" w:type="dxa"/>
          </w:tcPr>
          <w:p w:rsidR="00166A88" w:rsidRPr="005F617A" w:rsidRDefault="00600821" w:rsidP="003D7C34">
            <w:pPr>
              <w:spacing w:before="360"/>
              <w:jc w:val="center"/>
              <w:rPr>
                <w:sz w:val="22"/>
                <w:szCs w:val="22"/>
              </w:rPr>
            </w:pPr>
            <w:r>
              <w:rPr>
                <w:sz w:val="22"/>
                <w:szCs w:val="22"/>
              </w:rPr>
              <w:t>0,1%</w:t>
            </w:r>
          </w:p>
        </w:tc>
        <w:tc>
          <w:tcPr>
            <w:tcW w:w="1247" w:type="dxa"/>
            <w:vAlign w:val="center"/>
          </w:tcPr>
          <w:p w:rsidR="00166A88" w:rsidRPr="0043088A" w:rsidRDefault="00166A88" w:rsidP="004537C6">
            <w:pPr>
              <w:jc w:val="center"/>
              <w:rPr>
                <w:sz w:val="21"/>
                <w:szCs w:val="21"/>
              </w:rPr>
            </w:pPr>
            <w:r w:rsidRPr="0043088A">
              <w:rPr>
                <w:sz w:val="21"/>
                <w:szCs w:val="21"/>
              </w:rPr>
              <w:t xml:space="preserve">-14,2 / </w:t>
            </w:r>
          </w:p>
          <w:p w:rsidR="00166A88" w:rsidRPr="0043088A" w:rsidRDefault="00166A88" w:rsidP="004537C6">
            <w:pPr>
              <w:jc w:val="center"/>
              <w:rPr>
                <w:sz w:val="21"/>
                <w:szCs w:val="21"/>
              </w:rPr>
            </w:pPr>
            <w:r w:rsidRPr="0043088A">
              <w:rPr>
                <w:sz w:val="21"/>
                <w:szCs w:val="21"/>
              </w:rPr>
              <w:t>-10,0%</w:t>
            </w:r>
          </w:p>
        </w:tc>
        <w:tc>
          <w:tcPr>
            <w:tcW w:w="1247" w:type="dxa"/>
            <w:vAlign w:val="center"/>
          </w:tcPr>
          <w:p w:rsidR="00166A88" w:rsidRPr="0043088A" w:rsidRDefault="00166A88" w:rsidP="001977D0">
            <w:pPr>
              <w:jc w:val="center"/>
              <w:rPr>
                <w:sz w:val="21"/>
                <w:szCs w:val="21"/>
              </w:rPr>
            </w:pPr>
            <w:r w:rsidRPr="0043088A">
              <w:rPr>
                <w:sz w:val="21"/>
                <w:szCs w:val="21"/>
              </w:rPr>
              <w:t>-1</w:t>
            </w:r>
            <w:r w:rsidR="00712E21" w:rsidRPr="0043088A">
              <w:rPr>
                <w:sz w:val="21"/>
                <w:szCs w:val="21"/>
              </w:rPr>
              <w:t>13,8</w:t>
            </w:r>
            <w:r w:rsidRPr="0043088A">
              <w:rPr>
                <w:sz w:val="21"/>
                <w:szCs w:val="21"/>
              </w:rPr>
              <w:t xml:space="preserve"> / </w:t>
            </w:r>
          </w:p>
          <w:p w:rsidR="00166A88" w:rsidRPr="0043088A" w:rsidRDefault="00166A88" w:rsidP="00712E21">
            <w:pPr>
              <w:jc w:val="center"/>
              <w:rPr>
                <w:sz w:val="21"/>
                <w:szCs w:val="21"/>
              </w:rPr>
            </w:pPr>
            <w:r w:rsidRPr="0043088A">
              <w:rPr>
                <w:sz w:val="21"/>
                <w:szCs w:val="21"/>
              </w:rPr>
              <w:t>-</w:t>
            </w:r>
            <w:r w:rsidR="00712E21" w:rsidRPr="0043088A">
              <w:rPr>
                <w:sz w:val="21"/>
                <w:szCs w:val="21"/>
              </w:rPr>
              <w:t>89,3</w:t>
            </w:r>
            <w:r w:rsidRPr="0043088A">
              <w:rPr>
                <w:sz w:val="21"/>
                <w:szCs w:val="21"/>
              </w:rPr>
              <w:t>%</w:t>
            </w:r>
          </w:p>
        </w:tc>
      </w:tr>
      <w:tr w:rsidR="00166A88" w:rsidRPr="005F617A" w:rsidTr="009F4283">
        <w:tc>
          <w:tcPr>
            <w:tcW w:w="2324" w:type="dxa"/>
            <w:vAlign w:val="center"/>
          </w:tcPr>
          <w:p w:rsidR="00166A88" w:rsidRPr="005F617A" w:rsidRDefault="00166A88" w:rsidP="00E6053E">
            <w:pPr>
              <w:rPr>
                <w:sz w:val="22"/>
                <w:szCs w:val="22"/>
              </w:rPr>
            </w:pPr>
            <w:r w:rsidRPr="005F617A">
              <w:rPr>
                <w:sz w:val="22"/>
                <w:szCs w:val="22"/>
              </w:rPr>
              <w:t>Национальная экон</w:t>
            </w:r>
            <w:r w:rsidRPr="005F617A">
              <w:rPr>
                <w:sz w:val="22"/>
                <w:szCs w:val="22"/>
              </w:rPr>
              <w:t>о</w:t>
            </w:r>
            <w:r w:rsidRPr="005F617A">
              <w:rPr>
                <w:sz w:val="22"/>
                <w:szCs w:val="22"/>
              </w:rPr>
              <w:t>мика</w:t>
            </w:r>
          </w:p>
        </w:tc>
        <w:tc>
          <w:tcPr>
            <w:tcW w:w="907" w:type="dxa"/>
            <w:vAlign w:val="center"/>
          </w:tcPr>
          <w:p w:rsidR="00166A88" w:rsidRPr="005F617A" w:rsidRDefault="00166A88" w:rsidP="004537C6">
            <w:pPr>
              <w:jc w:val="center"/>
              <w:rPr>
                <w:sz w:val="22"/>
                <w:szCs w:val="22"/>
              </w:rPr>
            </w:pPr>
            <w:r>
              <w:rPr>
                <w:sz w:val="22"/>
                <w:szCs w:val="22"/>
              </w:rPr>
              <w:t>4698,0</w:t>
            </w:r>
          </w:p>
        </w:tc>
        <w:tc>
          <w:tcPr>
            <w:tcW w:w="907" w:type="dxa"/>
            <w:vAlign w:val="center"/>
          </w:tcPr>
          <w:p w:rsidR="00166A88" w:rsidRPr="005F617A" w:rsidRDefault="00166A88" w:rsidP="004537C6">
            <w:pPr>
              <w:jc w:val="center"/>
              <w:rPr>
                <w:sz w:val="22"/>
                <w:szCs w:val="22"/>
              </w:rPr>
            </w:pPr>
            <w:r>
              <w:rPr>
                <w:sz w:val="22"/>
                <w:szCs w:val="22"/>
              </w:rPr>
              <w:t>2608,6</w:t>
            </w:r>
          </w:p>
        </w:tc>
        <w:tc>
          <w:tcPr>
            <w:tcW w:w="908" w:type="dxa"/>
            <w:vAlign w:val="center"/>
          </w:tcPr>
          <w:p w:rsidR="00166A88" w:rsidRPr="005F617A" w:rsidRDefault="00166A88" w:rsidP="00406440">
            <w:pPr>
              <w:jc w:val="center"/>
              <w:rPr>
                <w:sz w:val="22"/>
                <w:szCs w:val="22"/>
              </w:rPr>
            </w:pPr>
            <w:r>
              <w:rPr>
                <w:sz w:val="22"/>
                <w:szCs w:val="22"/>
              </w:rPr>
              <w:t>3166,6</w:t>
            </w:r>
          </w:p>
        </w:tc>
        <w:tc>
          <w:tcPr>
            <w:tcW w:w="794" w:type="dxa"/>
          </w:tcPr>
          <w:p w:rsidR="00166A88" w:rsidRPr="005F617A" w:rsidRDefault="00166A88" w:rsidP="004537C6">
            <w:pPr>
              <w:spacing w:before="120"/>
              <w:jc w:val="center"/>
              <w:rPr>
                <w:sz w:val="22"/>
                <w:szCs w:val="22"/>
              </w:rPr>
            </w:pPr>
            <w:r>
              <w:rPr>
                <w:sz w:val="22"/>
                <w:szCs w:val="22"/>
              </w:rPr>
              <w:t>39,7%</w:t>
            </w:r>
          </w:p>
        </w:tc>
        <w:tc>
          <w:tcPr>
            <w:tcW w:w="794" w:type="dxa"/>
          </w:tcPr>
          <w:p w:rsidR="00166A88" w:rsidRPr="005F617A" w:rsidRDefault="00166A88" w:rsidP="004537C6">
            <w:pPr>
              <w:spacing w:before="120"/>
              <w:jc w:val="center"/>
              <w:rPr>
                <w:sz w:val="22"/>
                <w:szCs w:val="22"/>
              </w:rPr>
            </w:pPr>
            <w:r>
              <w:rPr>
                <w:sz w:val="22"/>
                <w:szCs w:val="22"/>
              </w:rPr>
              <w:t>26,0%</w:t>
            </w:r>
          </w:p>
        </w:tc>
        <w:tc>
          <w:tcPr>
            <w:tcW w:w="794" w:type="dxa"/>
          </w:tcPr>
          <w:p w:rsidR="00166A88" w:rsidRPr="005F617A" w:rsidRDefault="00600821" w:rsidP="008A42AB">
            <w:pPr>
              <w:spacing w:before="120"/>
              <w:jc w:val="center"/>
              <w:rPr>
                <w:sz w:val="22"/>
                <w:szCs w:val="22"/>
              </w:rPr>
            </w:pPr>
            <w:r>
              <w:rPr>
                <w:sz w:val="22"/>
                <w:szCs w:val="22"/>
              </w:rPr>
              <w:t>27,4%</w:t>
            </w:r>
          </w:p>
        </w:tc>
        <w:tc>
          <w:tcPr>
            <w:tcW w:w="1247" w:type="dxa"/>
            <w:vAlign w:val="center"/>
          </w:tcPr>
          <w:p w:rsidR="00166A88" w:rsidRPr="0043088A" w:rsidRDefault="00166A88" w:rsidP="004537C6">
            <w:pPr>
              <w:jc w:val="center"/>
              <w:rPr>
                <w:sz w:val="21"/>
                <w:szCs w:val="21"/>
              </w:rPr>
            </w:pPr>
            <w:r w:rsidRPr="0043088A">
              <w:rPr>
                <w:sz w:val="21"/>
                <w:szCs w:val="21"/>
              </w:rPr>
              <w:t>-2089,4 /</w:t>
            </w:r>
          </w:p>
          <w:p w:rsidR="00166A88" w:rsidRPr="0043088A" w:rsidRDefault="00166A88" w:rsidP="004537C6">
            <w:pPr>
              <w:jc w:val="center"/>
              <w:rPr>
                <w:sz w:val="21"/>
                <w:szCs w:val="21"/>
              </w:rPr>
            </w:pPr>
            <w:r w:rsidRPr="0043088A">
              <w:rPr>
                <w:sz w:val="21"/>
                <w:szCs w:val="21"/>
              </w:rPr>
              <w:t>-44,5%</w:t>
            </w:r>
          </w:p>
        </w:tc>
        <w:tc>
          <w:tcPr>
            <w:tcW w:w="1247" w:type="dxa"/>
            <w:vAlign w:val="center"/>
          </w:tcPr>
          <w:p w:rsidR="00166A88" w:rsidRPr="0043088A" w:rsidRDefault="00712E21" w:rsidP="001977D0">
            <w:pPr>
              <w:jc w:val="center"/>
              <w:rPr>
                <w:sz w:val="21"/>
                <w:szCs w:val="21"/>
              </w:rPr>
            </w:pPr>
            <w:r w:rsidRPr="0043088A">
              <w:rPr>
                <w:sz w:val="21"/>
                <w:szCs w:val="21"/>
              </w:rPr>
              <w:t>558,0</w:t>
            </w:r>
            <w:r w:rsidR="00166A88" w:rsidRPr="0043088A">
              <w:rPr>
                <w:sz w:val="21"/>
                <w:szCs w:val="21"/>
              </w:rPr>
              <w:t xml:space="preserve"> /</w:t>
            </w:r>
          </w:p>
          <w:p w:rsidR="00166A88" w:rsidRPr="0043088A" w:rsidRDefault="00712E21" w:rsidP="001977D0">
            <w:pPr>
              <w:jc w:val="center"/>
              <w:rPr>
                <w:sz w:val="21"/>
                <w:szCs w:val="21"/>
              </w:rPr>
            </w:pPr>
            <w:r w:rsidRPr="0043088A">
              <w:rPr>
                <w:sz w:val="21"/>
                <w:szCs w:val="21"/>
              </w:rPr>
              <w:t>21,4</w:t>
            </w:r>
            <w:r w:rsidR="00166A88" w:rsidRPr="0043088A">
              <w:rPr>
                <w:sz w:val="21"/>
                <w:szCs w:val="21"/>
              </w:rPr>
              <w:t>%</w:t>
            </w:r>
          </w:p>
        </w:tc>
      </w:tr>
      <w:tr w:rsidR="00166A88" w:rsidRPr="005F617A" w:rsidTr="009F4283">
        <w:tc>
          <w:tcPr>
            <w:tcW w:w="2324" w:type="dxa"/>
            <w:vAlign w:val="center"/>
          </w:tcPr>
          <w:p w:rsidR="00166A88" w:rsidRPr="005F617A" w:rsidRDefault="00166A88" w:rsidP="00A163C1">
            <w:pPr>
              <w:rPr>
                <w:sz w:val="22"/>
                <w:szCs w:val="22"/>
              </w:rPr>
            </w:pPr>
            <w:r w:rsidRPr="005F617A">
              <w:rPr>
                <w:sz w:val="22"/>
                <w:szCs w:val="22"/>
              </w:rPr>
              <w:t>Жилищно-комму</w:t>
            </w:r>
            <w:r>
              <w:rPr>
                <w:sz w:val="22"/>
                <w:szCs w:val="22"/>
              </w:rPr>
              <w:t>-</w:t>
            </w:r>
            <w:r w:rsidRPr="005F617A">
              <w:rPr>
                <w:sz w:val="22"/>
                <w:szCs w:val="22"/>
              </w:rPr>
              <w:t>нальное хозяйство</w:t>
            </w:r>
          </w:p>
        </w:tc>
        <w:tc>
          <w:tcPr>
            <w:tcW w:w="907" w:type="dxa"/>
            <w:vAlign w:val="center"/>
          </w:tcPr>
          <w:p w:rsidR="00166A88" w:rsidRPr="005F617A" w:rsidRDefault="00166A88" w:rsidP="004537C6">
            <w:pPr>
              <w:spacing w:before="120" w:after="120"/>
              <w:jc w:val="center"/>
              <w:rPr>
                <w:sz w:val="22"/>
                <w:szCs w:val="22"/>
              </w:rPr>
            </w:pPr>
            <w:r>
              <w:rPr>
                <w:sz w:val="22"/>
                <w:szCs w:val="22"/>
              </w:rPr>
              <w:t>1438,6</w:t>
            </w:r>
          </w:p>
        </w:tc>
        <w:tc>
          <w:tcPr>
            <w:tcW w:w="907" w:type="dxa"/>
            <w:vAlign w:val="center"/>
          </w:tcPr>
          <w:p w:rsidR="00166A88" w:rsidRPr="005F617A" w:rsidRDefault="00166A88" w:rsidP="004537C6">
            <w:pPr>
              <w:spacing w:before="120" w:after="120"/>
              <w:jc w:val="center"/>
              <w:rPr>
                <w:sz w:val="22"/>
                <w:szCs w:val="22"/>
              </w:rPr>
            </w:pPr>
            <w:r>
              <w:rPr>
                <w:sz w:val="22"/>
                <w:szCs w:val="22"/>
              </w:rPr>
              <w:t>1887,0</w:t>
            </w:r>
          </w:p>
        </w:tc>
        <w:tc>
          <w:tcPr>
            <w:tcW w:w="908" w:type="dxa"/>
            <w:vAlign w:val="center"/>
          </w:tcPr>
          <w:p w:rsidR="00166A88" w:rsidRPr="005F617A" w:rsidRDefault="00166A88" w:rsidP="00EE1F95">
            <w:pPr>
              <w:spacing w:before="120" w:after="120"/>
              <w:jc w:val="center"/>
              <w:rPr>
                <w:sz w:val="22"/>
                <w:szCs w:val="22"/>
              </w:rPr>
            </w:pPr>
            <w:r>
              <w:rPr>
                <w:sz w:val="22"/>
                <w:szCs w:val="22"/>
              </w:rPr>
              <w:t>1468,3</w:t>
            </w:r>
          </w:p>
        </w:tc>
        <w:tc>
          <w:tcPr>
            <w:tcW w:w="794" w:type="dxa"/>
          </w:tcPr>
          <w:p w:rsidR="00166A88" w:rsidRPr="005F617A" w:rsidRDefault="00166A88" w:rsidP="004537C6">
            <w:pPr>
              <w:spacing w:before="120" w:after="120"/>
              <w:jc w:val="center"/>
              <w:rPr>
                <w:sz w:val="22"/>
                <w:szCs w:val="22"/>
              </w:rPr>
            </w:pPr>
            <w:r>
              <w:rPr>
                <w:sz w:val="22"/>
                <w:szCs w:val="22"/>
              </w:rPr>
              <w:t>12,1%</w:t>
            </w:r>
          </w:p>
        </w:tc>
        <w:tc>
          <w:tcPr>
            <w:tcW w:w="794" w:type="dxa"/>
          </w:tcPr>
          <w:p w:rsidR="00166A88" w:rsidRPr="005F617A" w:rsidRDefault="00166A88" w:rsidP="004537C6">
            <w:pPr>
              <w:spacing w:before="120" w:after="120"/>
              <w:jc w:val="center"/>
              <w:rPr>
                <w:sz w:val="22"/>
                <w:szCs w:val="22"/>
              </w:rPr>
            </w:pPr>
            <w:r>
              <w:rPr>
                <w:sz w:val="22"/>
                <w:szCs w:val="22"/>
              </w:rPr>
              <w:t>18,8%</w:t>
            </w:r>
          </w:p>
        </w:tc>
        <w:tc>
          <w:tcPr>
            <w:tcW w:w="794" w:type="dxa"/>
          </w:tcPr>
          <w:p w:rsidR="00166A88" w:rsidRPr="005F617A" w:rsidRDefault="00600821" w:rsidP="00EE1F95">
            <w:pPr>
              <w:spacing w:before="120" w:after="120"/>
              <w:jc w:val="center"/>
              <w:rPr>
                <w:sz w:val="22"/>
                <w:szCs w:val="22"/>
              </w:rPr>
            </w:pPr>
            <w:r>
              <w:rPr>
                <w:sz w:val="22"/>
                <w:szCs w:val="22"/>
              </w:rPr>
              <w:t>12,7%</w:t>
            </w:r>
          </w:p>
        </w:tc>
        <w:tc>
          <w:tcPr>
            <w:tcW w:w="1247" w:type="dxa"/>
            <w:vAlign w:val="center"/>
          </w:tcPr>
          <w:p w:rsidR="00166A88" w:rsidRPr="0043088A" w:rsidRDefault="00166A88" w:rsidP="004537C6">
            <w:pPr>
              <w:jc w:val="center"/>
              <w:rPr>
                <w:sz w:val="21"/>
                <w:szCs w:val="21"/>
              </w:rPr>
            </w:pPr>
            <w:r w:rsidRPr="0043088A">
              <w:rPr>
                <w:sz w:val="21"/>
                <w:szCs w:val="21"/>
              </w:rPr>
              <w:t>448,4 / 31,2%</w:t>
            </w:r>
          </w:p>
        </w:tc>
        <w:tc>
          <w:tcPr>
            <w:tcW w:w="1247" w:type="dxa"/>
            <w:vAlign w:val="center"/>
          </w:tcPr>
          <w:p w:rsidR="003140F7" w:rsidRPr="0043088A" w:rsidRDefault="003140F7" w:rsidP="003140F7">
            <w:pPr>
              <w:jc w:val="center"/>
              <w:rPr>
                <w:sz w:val="21"/>
                <w:szCs w:val="21"/>
              </w:rPr>
            </w:pPr>
            <w:r w:rsidRPr="0043088A">
              <w:rPr>
                <w:sz w:val="21"/>
                <w:szCs w:val="21"/>
              </w:rPr>
              <w:t>-</w:t>
            </w:r>
            <w:r w:rsidR="00166A88" w:rsidRPr="0043088A">
              <w:rPr>
                <w:sz w:val="21"/>
                <w:szCs w:val="21"/>
              </w:rPr>
              <w:t>4</w:t>
            </w:r>
            <w:r w:rsidRPr="0043088A">
              <w:rPr>
                <w:sz w:val="21"/>
                <w:szCs w:val="21"/>
              </w:rPr>
              <w:t>1</w:t>
            </w:r>
            <w:r w:rsidR="00166A88" w:rsidRPr="0043088A">
              <w:rPr>
                <w:sz w:val="21"/>
                <w:szCs w:val="21"/>
              </w:rPr>
              <w:t>8,</w:t>
            </w:r>
            <w:r w:rsidRPr="0043088A">
              <w:rPr>
                <w:sz w:val="21"/>
                <w:szCs w:val="21"/>
              </w:rPr>
              <w:t>7</w:t>
            </w:r>
            <w:r w:rsidR="00166A88" w:rsidRPr="0043088A">
              <w:rPr>
                <w:sz w:val="21"/>
                <w:szCs w:val="21"/>
              </w:rPr>
              <w:t xml:space="preserve"> / </w:t>
            </w:r>
          </w:p>
          <w:p w:rsidR="00166A88" w:rsidRPr="0043088A" w:rsidRDefault="003140F7" w:rsidP="003140F7">
            <w:pPr>
              <w:jc w:val="center"/>
              <w:rPr>
                <w:sz w:val="21"/>
                <w:szCs w:val="21"/>
              </w:rPr>
            </w:pPr>
            <w:r w:rsidRPr="0043088A">
              <w:rPr>
                <w:sz w:val="21"/>
                <w:szCs w:val="21"/>
              </w:rPr>
              <w:t>-22</w:t>
            </w:r>
            <w:r w:rsidR="00166A88" w:rsidRPr="0043088A">
              <w:rPr>
                <w:sz w:val="21"/>
                <w:szCs w:val="21"/>
              </w:rPr>
              <w:t>,2%</w:t>
            </w:r>
          </w:p>
        </w:tc>
      </w:tr>
      <w:tr w:rsidR="00166A88" w:rsidRPr="005F617A" w:rsidTr="005C5F85">
        <w:trPr>
          <w:trHeight w:val="70"/>
        </w:trPr>
        <w:tc>
          <w:tcPr>
            <w:tcW w:w="2324" w:type="dxa"/>
            <w:vAlign w:val="center"/>
          </w:tcPr>
          <w:p w:rsidR="00166A88" w:rsidRPr="005F617A" w:rsidRDefault="00166A88" w:rsidP="005C5F85">
            <w:pPr>
              <w:rPr>
                <w:sz w:val="22"/>
                <w:szCs w:val="22"/>
              </w:rPr>
            </w:pPr>
            <w:r>
              <w:rPr>
                <w:sz w:val="22"/>
                <w:szCs w:val="22"/>
              </w:rPr>
              <w:t>Образование</w:t>
            </w:r>
          </w:p>
        </w:tc>
        <w:tc>
          <w:tcPr>
            <w:tcW w:w="907" w:type="dxa"/>
            <w:vAlign w:val="center"/>
          </w:tcPr>
          <w:p w:rsidR="00166A88" w:rsidRPr="005F617A" w:rsidRDefault="00166A88" w:rsidP="005C5F85">
            <w:pPr>
              <w:jc w:val="center"/>
              <w:rPr>
                <w:sz w:val="22"/>
                <w:szCs w:val="22"/>
              </w:rPr>
            </w:pPr>
          </w:p>
        </w:tc>
        <w:tc>
          <w:tcPr>
            <w:tcW w:w="907" w:type="dxa"/>
            <w:vAlign w:val="center"/>
          </w:tcPr>
          <w:p w:rsidR="00166A88" w:rsidRPr="005F617A" w:rsidRDefault="00166A88" w:rsidP="005C5F85">
            <w:pPr>
              <w:jc w:val="center"/>
              <w:rPr>
                <w:sz w:val="22"/>
                <w:szCs w:val="22"/>
              </w:rPr>
            </w:pPr>
            <w:r>
              <w:rPr>
                <w:sz w:val="22"/>
                <w:szCs w:val="22"/>
              </w:rPr>
              <w:t>15,0</w:t>
            </w:r>
          </w:p>
        </w:tc>
        <w:tc>
          <w:tcPr>
            <w:tcW w:w="908" w:type="dxa"/>
            <w:vAlign w:val="center"/>
          </w:tcPr>
          <w:p w:rsidR="00166A88" w:rsidRPr="005F617A" w:rsidRDefault="00166A88" w:rsidP="005C5F85">
            <w:pPr>
              <w:jc w:val="center"/>
              <w:rPr>
                <w:sz w:val="22"/>
                <w:szCs w:val="22"/>
              </w:rPr>
            </w:pPr>
            <w:r>
              <w:rPr>
                <w:sz w:val="22"/>
                <w:szCs w:val="22"/>
              </w:rPr>
              <w:t>6,0</w:t>
            </w:r>
          </w:p>
        </w:tc>
        <w:tc>
          <w:tcPr>
            <w:tcW w:w="794" w:type="dxa"/>
          </w:tcPr>
          <w:p w:rsidR="00166A88" w:rsidRPr="005F617A" w:rsidRDefault="00166A88" w:rsidP="005C5F85">
            <w:pPr>
              <w:jc w:val="center"/>
              <w:rPr>
                <w:sz w:val="22"/>
                <w:szCs w:val="22"/>
              </w:rPr>
            </w:pPr>
          </w:p>
        </w:tc>
        <w:tc>
          <w:tcPr>
            <w:tcW w:w="794" w:type="dxa"/>
            <w:vAlign w:val="center"/>
          </w:tcPr>
          <w:p w:rsidR="00166A88" w:rsidRPr="005F617A" w:rsidRDefault="00166A88" w:rsidP="005C5F85">
            <w:pPr>
              <w:jc w:val="center"/>
              <w:rPr>
                <w:sz w:val="22"/>
                <w:szCs w:val="22"/>
              </w:rPr>
            </w:pPr>
            <w:r>
              <w:rPr>
                <w:sz w:val="22"/>
                <w:szCs w:val="22"/>
              </w:rPr>
              <w:t>0,1%</w:t>
            </w:r>
          </w:p>
        </w:tc>
        <w:tc>
          <w:tcPr>
            <w:tcW w:w="794" w:type="dxa"/>
            <w:vAlign w:val="center"/>
          </w:tcPr>
          <w:p w:rsidR="00166A88" w:rsidRPr="005F617A" w:rsidRDefault="00600821" w:rsidP="005C5F85">
            <w:pPr>
              <w:jc w:val="center"/>
              <w:rPr>
                <w:sz w:val="22"/>
                <w:szCs w:val="22"/>
              </w:rPr>
            </w:pPr>
            <w:r>
              <w:rPr>
                <w:sz w:val="22"/>
                <w:szCs w:val="22"/>
              </w:rPr>
              <w:t>0,1%</w:t>
            </w:r>
          </w:p>
        </w:tc>
        <w:tc>
          <w:tcPr>
            <w:tcW w:w="1247" w:type="dxa"/>
            <w:vAlign w:val="center"/>
          </w:tcPr>
          <w:p w:rsidR="00166A88" w:rsidRPr="0043088A" w:rsidRDefault="00166A88" w:rsidP="005C5F85">
            <w:pPr>
              <w:jc w:val="center"/>
              <w:rPr>
                <w:sz w:val="21"/>
                <w:szCs w:val="21"/>
              </w:rPr>
            </w:pPr>
          </w:p>
        </w:tc>
        <w:tc>
          <w:tcPr>
            <w:tcW w:w="1247" w:type="dxa"/>
            <w:vAlign w:val="center"/>
          </w:tcPr>
          <w:p w:rsidR="009F4283" w:rsidRDefault="003140F7" w:rsidP="009F4283">
            <w:pPr>
              <w:jc w:val="center"/>
              <w:rPr>
                <w:sz w:val="21"/>
                <w:szCs w:val="21"/>
              </w:rPr>
            </w:pPr>
            <w:r w:rsidRPr="0043088A">
              <w:rPr>
                <w:sz w:val="21"/>
                <w:szCs w:val="21"/>
              </w:rPr>
              <w:t xml:space="preserve">-9,0 / </w:t>
            </w:r>
          </w:p>
          <w:p w:rsidR="009F4283" w:rsidRPr="0043088A" w:rsidRDefault="003140F7" w:rsidP="009F4283">
            <w:pPr>
              <w:jc w:val="center"/>
              <w:rPr>
                <w:sz w:val="21"/>
                <w:szCs w:val="21"/>
              </w:rPr>
            </w:pPr>
            <w:r w:rsidRPr="0043088A">
              <w:rPr>
                <w:sz w:val="21"/>
                <w:szCs w:val="21"/>
              </w:rPr>
              <w:t>-60,0</w:t>
            </w:r>
            <w:r w:rsidR="0043088A" w:rsidRPr="0043088A">
              <w:rPr>
                <w:sz w:val="21"/>
                <w:szCs w:val="21"/>
              </w:rPr>
              <w:t>%</w:t>
            </w:r>
          </w:p>
        </w:tc>
      </w:tr>
      <w:tr w:rsidR="00166A88" w:rsidRPr="005F617A" w:rsidTr="009F4283">
        <w:tc>
          <w:tcPr>
            <w:tcW w:w="2324" w:type="dxa"/>
            <w:vAlign w:val="center"/>
          </w:tcPr>
          <w:p w:rsidR="00166A88" w:rsidRPr="005F617A" w:rsidRDefault="00166A88" w:rsidP="002E14C6">
            <w:pPr>
              <w:rPr>
                <w:sz w:val="22"/>
                <w:szCs w:val="22"/>
              </w:rPr>
            </w:pPr>
            <w:r w:rsidRPr="005F617A">
              <w:rPr>
                <w:sz w:val="22"/>
                <w:szCs w:val="22"/>
              </w:rPr>
              <w:t>Культура, кинемат</w:t>
            </w:r>
            <w:r w:rsidRPr="005F617A">
              <w:rPr>
                <w:sz w:val="22"/>
                <w:szCs w:val="22"/>
              </w:rPr>
              <w:t>о</w:t>
            </w:r>
            <w:r w:rsidRPr="005F617A">
              <w:rPr>
                <w:sz w:val="22"/>
                <w:szCs w:val="22"/>
              </w:rPr>
              <w:t>графия</w:t>
            </w:r>
          </w:p>
        </w:tc>
        <w:tc>
          <w:tcPr>
            <w:tcW w:w="907" w:type="dxa"/>
            <w:vAlign w:val="center"/>
          </w:tcPr>
          <w:p w:rsidR="00166A88" w:rsidRPr="005F617A" w:rsidRDefault="00166A88" w:rsidP="004537C6">
            <w:pPr>
              <w:jc w:val="center"/>
              <w:rPr>
                <w:sz w:val="22"/>
                <w:szCs w:val="22"/>
              </w:rPr>
            </w:pPr>
            <w:r>
              <w:rPr>
                <w:sz w:val="22"/>
                <w:szCs w:val="22"/>
              </w:rPr>
              <w:t>2988,4</w:t>
            </w:r>
          </w:p>
        </w:tc>
        <w:tc>
          <w:tcPr>
            <w:tcW w:w="907" w:type="dxa"/>
            <w:vAlign w:val="center"/>
          </w:tcPr>
          <w:p w:rsidR="00166A88" w:rsidRPr="005F617A" w:rsidRDefault="00166A88" w:rsidP="004537C6">
            <w:pPr>
              <w:jc w:val="center"/>
              <w:rPr>
                <w:sz w:val="22"/>
                <w:szCs w:val="22"/>
              </w:rPr>
            </w:pPr>
            <w:r>
              <w:rPr>
                <w:sz w:val="22"/>
                <w:szCs w:val="22"/>
              </w:rPr>
              <w:t>2881,8</w:t>
            </w:r>
          </w:p>
        </w:tc>
        <w:tc>
          <w:tcPr>
            <w:tcW w:w="908" w:type="dxa"/>
            <w:vAlign w:val="center"/>
          </w:tcPr>
          <w:p w:rsidR="00166A88" w:rsidRPr="005F617A" w:rsidRDefault="00166A88" w:rsidP="002E14C6">
            <w:pPr>
              <w:jc w:val="center"/>
              <w:rPr>
                <w:sz w:val="22"/>
                <w:szCs w:val="22"/>
              </w:rPr>
            </w:pPr>
            <w:r>
              <w:rPr>
                <w:sz w:val="22"/>
                <w:szCs w:val="22"/>
              </w:rPr>
              <w:t>4266,3</w:t>
            </w:r>
          </w:p>
        </w:tc>
        <w:tc>
          <w:tcPr>
            <w:tcW w:w="794" w:type="dxa"/>
          </w:tcPr>
          <w:p w:rsidR="00166A88" w:rsidRPr="005F617A" w:rsidRDefault="00166A88" w:rsidP="004537C6">
            <w:pPr>
              <w:spacing w:before="120"/>
              <w:jc w:val="center"/>
              <w:rPr>
                <w:sz w:val="22"/>
                <w:szCs w:val="22"/>
              </w:rPr>
            </w:pPr>
            <w:r>
              <w:rPr>
                <w:sz w:val="22"/>
                <w:szCs w:val="22"/>
              </w:rPr>
              <w:t>25,2%</w:t>
            </w:r>
          </w:p>
        </w:tc>
        <w:tc>
          <w:tcPr>
            <w:tcW w:w="794" w:type="dxa"/>
          </w:tcPr>
          <w:p w:rsidR="00166A88" w:rsidRPr="005F617A" w:rsidRDefault="00166A88" w:rsidP="004537C6">
            <w:pPr>
              <w:spacing w:before="120"/>
              <w:jc w:val="center"/>
              <w:rPr>
                <w:sz w:val="22"/>
                <w:szCs w:val="22"/>
              </w:rPr>
            </w:pPr>
            <w:r>
              <w:rPr>
                <w:sz w:val="22"/>
                <w:szCs w:val="22"/>
              </w:rPr>
              <w:t>28,7%</w:t>
            </w:r>
          </w:p>
        </w:tc>
        <w:tc>
          <w:tcPr>
            <w:tcW w:w="794" w:type="dxa"/>
          </w:tcPr>
          <w:p w:rsidR="00166A88" w:rsidRPr="005F617A" w:rsidRDefault="00712E21" w:rsidP="003D7C34">
            <w:pPr>
              <w:spacing w:before="120"/>
              <w:jc w:val="center"/>
              <w:rPr>
                <w:sz w:val="22"/>
                <w:szCs w:val="22"/>
              </w:rPr>
            </w:pPr>
            <w:r>
              <w:rPr>
                <w:sz w:val="22"/>
                <w:szCs w:val="22"/>
              </w:rPr>
              <w:t>36,9%</w:t>
            </w:r>
          </w:p>
        </w:tc>
        <w:tc>
          <w:tcPr>
            <w:tcW w:w="1247" w:type="dxa"/>
            <w:vAlign w:val="center"/>
          </w:tcPr>
          <w:p w:rsidR="00166A88" w:rsidRPr="0043088A" w:rsidRDefault="00166A88" w:rsidP="004537C6">
            <w:pPr>
              <w:jc w:val="center"/>
              <w:rPr>
                <w:sz w:val="21"/>
                <w:szCs w:val="21"/>
              </w:rPr>
            </w:pPr>
            <w:r w:rsidRPr="0043088A">
              <w:rPr>
                <w:sz w:val="21"/>
                <w:szCs w:val="21"/>
              </w:rPr>
              <w:t xml:space="preserve">-106,6 / </w:t>
            </w:r>
          </w:p>
          <w:p w:rsidR="00166A88" w:rsidRPr="0043088A" w:rsidRDefault="00166A88" w:rsidP="004537C6">
            <w:pPr>
              <w:jc w:val="center"/>
              <w:rPr>
                <w:sz w:val="21"/>
                <w:szCs w:val="21"/>
              </w:rPr>
            </w:pPr>
            <w:r w:rsidRPr="0043088A">
              <w:rPr>
                <w:sz w:val="21"/>
                <w:szCs w:val="21"/>
              </w:rPr>
              <w:t>-3,6%</w:t>
            </w:r>
          </w:p>
        </w:tc>
        <w:tc>
          <w:tcPr>
            <w:tcW w:w="1247" w:type="dxa"/>
            <w:vAlign w:val="center"/>
          </w:tcPr>
          <w:p w:rsidR="00166A88" w:rsidRPr="0043088A" w:rsidRDefault="003140F7" w:rsidP="008E391A">
            <w:pPr>
              <w:jc w:val="center"/>
              <w:rPr>
                <w:sz w:val="21"/>
                <w:szCs w:val="21"/>
              </w:rPr>
            </w:pPr>
            <w:r w:rsidRPr="0043088A">
              <w:rPr>
                <w:sz w:val="21"/>
                <w:szCs w:val="21"/>
              </w:rPr>
              <w:t>1384,5</w:t>
            </w:r>
            <w:r w:rsidR="00166A88" w:rsidRPr="0043088A">
              <w:rPr>
                <w:sz w:val="21"/>
                <w:szCs w:val="21"/>
              </w:rPr>
              <w:t xml:space="preserve"> / </w:t>
            </w:r>
          </w:p>
          <w:p w:rsidR="00166A88" w:rsidRPr="0043088A" w:rsidRDefault="00981EA9" w:rsidP="008E391A">
            <w:pPr>
              <w:jc w:val="center"/>
              <w:rPr>
                <w:sz w:val="21"/>
                <w:szCs w:val="21"/>
              </w:rPr>
            </w:pPr>
            <w:r w:rsidRPr="0043088A">
              <w:rPr>
                <w:sz w:val="21"/>
                <w:szCs w:val="21"/>
              </w:rPr>
              <w:t>48,0</w:t>
            </w:r>
            <w:r w:rsidR="00166A88" w:rsidRPr="0043088A">
              <w:rPr>
                <w:sz w:val="21"/>
                <w:szCs w:val="21"/>
              </w:rPr>
              <w:t>%</w:t>
            </w:r>
          </w:p>
        </w:tc>
      </w:tr>
      <w:tr w:rsidR="00166A88" w:rsidRPr="005F617A" w:rsidTr="005C5F85">
        <w:tc>
          <w:tcPr>
            <w:tcW w:w="2324" w:type="dxa"/>
            <w:vAlign w:val="center"/>
          </w:tcPr>
          <w:p w:rsidR="00166A88" w:rsidRPr="005F617A" w:rsidRDefault="00166A88" w:rsidP="005C5F85">
            <w:pPr>
              <w:spacing w:before="40" w:after="40"/>
              <w:rPr>
                <w:sz w:val="22"/>
                <w:szCs w:val="22"/>
              </w:rPr>
            </w:pPr>
            <w:r w:rsidRPr="005F617A">
              <w:rPr>
                <w:sz w:val="22"/>
                <w:szCs w:val="22"/>
              </w:rPr>
              <w:t>Социальная политика</w:t>
            </w:r>
          </w:p>
        </w:tc>
        <w:tc>
          <w:tcPr>
            <w:tcW w:w="907" w:type="dxa"/>
            <w:vAlign w:val="center"/>
          </w:tcPr>
          <w:p w:rsidR="00166A88" w:rsidRPr="005F617A" w:rsidRDefault="00166A88" w:rsidP="005C5F85">
            <w:pPr>
              <w:spacing w:before="40" w:after="40"/>
              <w:jc w:val="center"/>
              <w:rPr>
                <w:sz w:val="22"/>
                <w:szCs w:val="22"/>
              </w:rPr>
            </w:pPr>
            <w:r>
              <w:rPr>
                <w:sz w:val="22"/>
                <w:szCs w:val="22"/>
              </w:rPr>
              <w:t>110,6</w:t>
            </w:r>
          </w:p>
        </w:tc>
        <w:tc>
          <w:tcPr>
            <w:tcW w:w="907" w:type="dxa"/>
            <w:vAlign w:val="center"/>
          </w:tcPr>
          <w:p w:rsidR="00166A88" w:rsidRPr="005F617A" w:rsidRDefault="00166A88" w:rsidP="005C5F85">
            <w:pPr>
              <w:spacing w:before="40" w:after="40"/>
              <w:jc w:val="center"/>
              <w:rPr>
                <w:sz w:val="22"/>
                <w:szCs w:val="22"/>
              </w:rPr>
            </w:pPr>
            <w:r>
              <w:rPr>
                <w:sz w:val="22"/>
                <w:szCs w:val="22"/>
              </w:rPr>
              <w:t>131,6</w:t>
            </w:r>
          </w:p>
        </w:tc>
        <w:tc>
          <w:tcPr>
            <w:tcW w:w="908" w:type="dxa"/>
            <w:vAlign w:val="center"/>
          </w:tcPr>
          <w:p w:rsidR="00166A88" w:rsidRPr="005F617A" w:rsidRDefault="00166A88" w:rsidP="005C5F85">
            <w:pPr>
              <w:spacing w:before="40" w:after="40"/>
              <w:jc w:val="center"/>
              <w:rPr>
                <w:sz w:val="22"/>
                <w:szCs w:val="22"/>
              </w:rPr>
            </w:pPr>
            <w:r>
              <w:rPr>
                <w:sz w:val="22"/>
                <w:szCs w:val="22"/>
              </w:rPr>
              <w:t>142,7</w:t>
            </w:r>
          </w:p>
        </w:tc>
        <w:tc>
          <w:tcPr>
            <w:tcW w:w="794" w:type="dxa"/>
            <w:vAlign w:val="center"/>
          </w:tcPr>
          <w:p w:rsidR="00166A88" w:rsidRPr="005F617A" w:rsidRDefault="00166A88" w:rsidP="005C5F85">
            <w:pPr>
              <w:spacing w:before="40" w:after="40"/>
              <w:jc w:val="center"/>
              <w:rPr>
                <w:sz w:val="22"/>
                <w:szCs w:val="22"/>
              </w:rPr>
            </w:pPr>
            <w:r>
              <w:rPr>
                <w:sz w:val="22"/>
                <w:szCs w:val="22"/>
              </w:rPr>
              <w:t>0,9%</w:t>
            </w:r>
          </w:p>
        </w:tc>
        <w:tc>
          <w:tcPr>
            <w:tcW w:w="794" w:type="dxa"/>
            <w:vAlign w:val="center"/>
          </w:tcPr>
          <w:p w:rsidR="00166A88" w:rsidRPr="005F617A" w:rsidRDefault="00166A88" w:rsidP="005C5F85">
            <w:pPr>
              <w:spacing w:before="40" w:after="40"/>
              <w:jc w:val="center"/>
              <w:rPr>
                <w:sz w:val="22"/>
                <w:szCs w:val="22"/>
              </w:rPr>
            </w:pPr>
            <w:r>
              <w:rPr>
                <w:sz w:val="22"/>
                <w:szCs w:val="22"/>
              </w:rPr>
              <w:t>1,3%</w:t>
            </w:r>
          </w:p>
        </w:tc>
        <w:tc>
          <w:tcPr>
            <w:tcW w:w="794" w:type="dxa"/>
            <w:vAlign w:val="center"/>
          </w:tcPr>
          <w:p w:rsidR="00166A88" w:rsidRPr="005F617A" w:rsidRDefault="00712E21" w:rsidP="005C5F85">
            <w:pPr>
              <w:spacing w:before="40" w:after="40"/>
              <w:jc w:val="center"/>
              <w:rPr>
                <w:sz w:val="22"/>
                <w:szCs w:val="22"/>
              </w:rPr>
            </w:pPr>
            <w:r>
              <w:rPr>
                <w:sz w:val="22"/>
                <w:szCs w:val="22"/>
              </w:rPr>
              <w:t>1,2%</w:t>
            </w:r>
          </w:p>
        </w:tc>
        <w:tc>
          <w:tcPr>
            <w:tcW w:w="1247" w:type="dxa"/>
            <w:vAlign w:val="center"/>
          </w:tcPr>
          <w:p w:rsidR="00166A88" w:rsidRPr="0043088A" w:rsidRDefault="00166A88" w:rsidP="004537C6">
            <w:pPr>
              <w:spacing w:before="40" w:after="40"/>
              <w:jc w:val="center"/>
              <w:rPr>
                <w:sz w:val="21"/>
                <w:szCs w:val="21"/>
              </w:rPr>
            </w:pPr>
            <w:r w:rsidRPr="0043088A">
              <w:rPr>
                <w:sz w:val="21"/>
                <w:szCs w:val="21"/>
              </w:rPr>
              <w:t>21,0 / 19,0%</w:t>
            </w:r>
          </w:p>
        </w:tc>
        <w:tc>
          <w:tcPr>
            <w:tcW w:w="1247" w:type="dxa"/>
            <w:vAlign w:val="center"/>
          </w:tcPr>
          <w:p w:rsidR="00166A88" w:rsidRPr="0043088A" w:rsidRDefault="00FB4D69" w:rsidP="00FB4D69">
            <w:pPr>
              <w:spacing w:before="40" w:after="40"/>
              <w:jc w:val="center"/>
              <w:rPr>
                <w:sz w:val="21"/>
                <w:szCs w:val="21"/>
              </w:rPr>
            </w:pPr>
            <w:r w:rsidRPr="0043088A">
              <w:rPr>
                <w:sz w:val="21"/>
                <w:szCs w:val="21"/>
              </w:rPr>
              <w:t>11,1</w:t>
            </w:r>
            <w:r w:rsidR="00166A88" w:rsidRPr="0043088A">
              <w:rPr>
                <w:sz w:val="21"/>
                <w:szCs w:val="21"/>
              </w:rPr>
              <w:t xml:space="preserve"> / </w:t>
            </w:r>
            <w:r w:rsidRPr="0043088A">
              <w:rPr>
                <w:sz w:val="21"/>
                <w:szCs w:val="21"/>
              </w:rPr>
              <w:t>8,4</w:t>
            </w:r>
            <w:r w:rsidR="00166A88" w:rsidRPr="0043088A">
              <w:rPr>
                <w:sz w:val="21"/>
                <w:szCs w:val="21"/>
              </w:rPr>
              <w:t>%</w:t>
            </w:r>
          </w:p>
        </w:tc>
      </w:tr>
      <w:tr w:rsidR="00166A88" w:rsidRPr="005F617A" w:rsidTr="009F4283">
        <w:tc>
          <w:tcPr>
            <w:tcW w:w="2324" w:type="dxa"/>
          </w:tcPr>
          <w:p w:rsidR="00166A88" w:rsidRPr="005F617A" w:rsidRDefault="00166A88" w:rsidP="002E14C6">
            <w:pPr>
              <w:rPr>
                <w:sz w:val="22"/>
                <w:szCs w:val="22"/>
              </w:rPr>
            </w:pPr>
            <w:r w:rsidRPr="005F617A">
              <w:rPr>
                <w:sz w:val="22"/>
                <w:szCs w:val="22"/>
              </w:rPr>
              <w:t>Физическая культура и спорт</w:t>
            </w:r>
          </w:p>
        </w:tc>
        <w:tc>
          <w:tcPr>
            <w:tcW w:w="907" w:type="dxa"/>
            <w:vAlign w:val="center"/>
          </w:tcPr>
          <w:p w:rsidR="00166A88" w:rsidRPr="005F617A" w:rsidRDefault="00166A88" w:rsidP="004537C6">
            <w:pPr>
              <w:jc w:val="center"/>
              <w:rPr>
                <w:sz w:val="22"/>
                <w:szCs w:val="22"/>
              </w:rPr>
            </w:pPr>
            <w:r>
              <w:rPr>
                <w:sz w:val="22"/>
                <w:szCs w:val="22"/>
              </w:rPr>
              <w:t>55,0</w:t>
            </w:r>
          </w:p>
        </w:tc>
        <w:tc>
          <w:tcPr>
            <w:tcW w:w="907" w:type="dxa"/>
            <w:vAlign w:val="center"/>
          </w:tcPr>
          <w:p w:rsidR="00166A88" w:rsidRPr="005F617A" w:rsidRDefault="00166A88" w:rsidP="004537C6">
            <w:pPr>
              <w:jc w:val="center"/>
              <w:rPr>
                <w:sz w:val="22"/>
                <w:szCs w:val="22"/>
              </w:rPr>
            </w:pPr>
            <w:r>
              <w:rPr>
                <w:sz w:val="22"/>
                <w:szCs w:val="22"/>
              </w:rPr>
              <w:t>33,1</w:t>
            </w:r>
          </w:p>
        </w:tc>
        <w:tc>
          <w:tcPr>
            <w:tcW w:w="908" w:type="dxa"/>
            <w:vAlign w:val="center"/>
          </w:tcPr>
          <w:p w:rsidR="00166A88" w:rsidRPr="005F617A" w:rsidRDefault="00166A88" w:rsidP="002E14C6">
            <w:pPr>
              <w:jc w:val="center"/>
              <w:rPr>
                <w:sz w:val="22"/>
                <w:szCs w:val="22"/>
              </w:rPr>
            </w:pPr>
          </w:p>
        </w:tc>
        <w:tc>
          <w:tcPr>
            <w:tcW w:w="794" w:type="dxa"/>
          </w:tcPr>
          <w:p w:rsidR="00166A88" w:rsidRPr="005F617A" w:rsidRDefault="00166A88" w:rsidP="004537C6">
            <w:pPr>
              <w:spacing w:before="120"/>
              <w:jc w:val="center"/>
              <w:rPr>
                <w:sz w:val="22"/>
                <w:szCs w:val="22"/>
              </w:rPr>
            </w:pPr>
            <w:r>
              <w:rPr>
                <w:sz w:val="22"/>
                <w:szCs w:val="22"/>
              </w:rPr>
              <w:t>0,5%</w:t>
            </w:r>
          </w:p>
        </w:tc>
        <w:tc>
          <w:tcPr>
            <w:tcW w:w="794" w:type="dxa"/>
          </w:tcPr>
          <w:p w:rsidR="00166A88" w:rsidRPr="005F617A" w:rsidRDefault="00166A88" w:rsidP="004537C6">
            <w:pPr>
              <w:spacing w:before="120"/>
              <w:jc w:val="center"/>
              <w:rPr>
                <w:sz w:val="22"/>
                <w:szCs w:val="22"/>
              </w:rPr>
            </w:pPr>
            <w:r>
              <w:rPr>
                <w:sz w:val="22"/>
                <w:szCs w:val="22"/>
              </w:rPr>
              <w:t>0,3%</w:t>
            </w:r>
          </w:p>
        </w:tc>
        <w:tc>
          <w:tcPr>
            <w:tcW w:w="794" w:type="dxa"/>
          </w:tcPr>
          <w:p w:rsidR="00166A88" w:rsidRPr="005F617A" w:rsidRDefault="00166A88" w:rsidP="003D7C34">
            <w:pPr>
              <w:spacing w:before="120"/>
              <w:jc w:val="center"/>
              <w:rPr>
                <w:sz w:val="22"/>
                <w:szCs w:val="22"/>
              </w:rPr>
            </w:pPr>
          </w:p>
        </w:tc>
        <w:tc>
          <w:tcPr>
            <w:tcW w:w="1247" w:type="dxa"/>
            <w:vAlign w:val="center"/>
          </w:tcPr>
          <w:p w:rsidR="00166A88" w:rsidRPr="0043088A" w:rsidRDefault="00166A88" w:rsidP="004537C6">
            <w:pPr>
              <w:jc w:val="center"/>
              <w:rPr>
                <w:sz w:val="21"/>
                <w:szCs w:val="21"/>
              </w:rPr>
            </w:pPr>
            <w:r w:rsidRPr="0043088A">
              <w:rPr>
                <w:sz w:val="21"/>
                <w:szCs w:val="21"/>
              </w:rPr>
              <w:t xml:space="preserve">-21,9 / </w:t>
            </w:r>
          </w:p>
          <w:p w:rsidR="00166A88" w:rsidRPr="0043088A" w:rsidRDefault="00166A88" w:rsidP="004537C6">
            <w:pPr>
              <w:jc w:val="center"/>
              <w:rPr>
                <w:sz w:val="21"/>
                <w:szCs w:val="21"/>
              </w:rPr>
            </w:pPr>
            <w:r w:rsidRPr="0043088A">
              <w:rPr>
                <w:sz w:val="21"/>
                <w:szCs w:val="21"/>
              </w:rPr>
              <w:t>-39,8%</w:t>
            </w:r>
          </w:p>
        </w:tc>
        <w:tc>
          <w:tcPr>
            <w:tcW w:w="1247" w:type="dxa"/>
            <w:vAlign w:val="center"/>
          </w:tcPr>
          <w:p w:rsidR="00166A88" w:rsidRPr="0043088A" w:rsidRDefault="00166A88" w:rsidP="002E14C6">
            <w:pPr>
              <w:jc w:val="center"/>
              <w:rPr>
                <w:sz w:val="21"/>
                <w:szCs w:val="21"/>
              </w:rPr>
            </w:pPr>
          </w:p>
        </w:tc>
      </w:tr>
      <w:tr w:rsidR="00166A88" w:rsidRPr="005F617A" w:rsidTr="009F4283">
        <w:tc>
          <w:tcPr>
            <w:tcW w:w="2324" w:type="dxa"/>
          </w:tcPr>
          <w:p w:rsidR="00166A88" w:rsidRPr="005F617A" w:rsidRDefault="00166A88" w:rsidP="004B6B0C">
            <w:pPr>
              <w:spacing w:before="120"/>
              <w:rPr>
                <w:b/>
                <w:sz w:val="22"/>
                <w:szCs w:val="22"/>
              </w:rPr>
            </w:pPr>
            <w:r w:rsidRPr="005F617A">
              <w:rPr>
                <w:b/>
                <w:sz w:val="22"/>
                <w:szCs w:val="22"/>
              </w:rPr>
              <w:t>Итого расходов</w:t>
            </w:r>
          </w:p>
        </w:tc>
        <w:tc>
          <w:tcPr>
            <w:tcW w:w="907" w:type="dxa"/>
            <w:vAlign w:val="center"/>
          </w:tcPr>
          <w:p w:rsidR="00166A88" w:rsidRPr="00313DF1" w:rsidRDefault="00166A88" w:rsidP="004537C6">
            <w:pPr>
              <w:jc w:val="center"/>
              <w:rPr>
                <w:b/>
                <w:sz w:val="21"/>
                <w:szCs w:val="21"/>
              </w:rPr>
            </w:pPr>
            <w:r w:rsidRPr="00313DF1">
              <w:rPr>
                <w:b/>
                <w:sz w:val="21"/>
                <w:szCs w:val="21"/>
              </w:rPr>
              <w:t>11846,7</w:t>
            </w:r>
          </w:p>
        </w:tc>
        <w:tc>
          <w:tcPr>
            <w:tcW w:w="907" w:type="dxa"/>
            <w:vAlign w:val="center"/>
          </w:tcPr>
          <w:p w:rsidR="00166A88" w:rsidRPr="00313DF1" w:rsidRDefault="00166A88" w:rsidP="004537C6">
            <w:pPr>
              <w:jc w:val="center"/>
              <w:rPr>
                <w:b/>
                <w:sz w:val="21"/>
                <w:szCs w:val="21"/>
              </w:rPr>
            </w:pPr>
            <w:r>
              <w:rPr>
                <w:b/>
                <w:sz w:val="21"/>
                <w:szCs w:val="21"/>
              </w:rPr>
              <w:t>10044,1</w:t>
            </w:r>
          </w:p>
        </w:tc>
        <w:tc>
          <w:tcPr>
            <w:tcW w:w="908" w:type="dxa"/>
            <w:vAlign w:val="center"/>
          </w:tcPr>
          <w:p w:rsidR="00166A88" w:rsidRPr="00313DF1" w:rsidRDefault="00600821" w:rsidP="002E14C6">
            <w:pPr>
              <w:jc w:val="center"/>
              <w:rPr>
                <w:b/>
                <w:sz w:val="21"/>
                <w:szCs w:val="21"/>
              </w:rPr>
            </w:pPr>
            <w:r>
              <w:rPr>
                <w:b/>
                <w:sz w:val="21"/>
                <w:szCs w:val="21"/>
              </w:rPr>
              <w:t>11575,7</w:t>
            </w:r>
          </w:p>
        </w:tc>
        <w:tc>
          <w:tcPr>
            <w:tcW w:w="794" w:type="dxa"/>
            <w:vAlign w:val="center"/>
          </w:tcPr>
          <w:p w:rsidR="00166A88" w:rsidRPr="005F617A" w:rsidRDefault="00166A88" w:rsidP="002E14C6">
            <w:pPr>
              <w:jc w:val="center"/>
              <w:rPr>
                <w:b/>
                <w:sz w:val="22"/>
                <w:szCs w:val="22"/>
              </w:rPr>
            </w:pPr>
            <w:r w:rsidRPr="005F617A">
              <w:rPr>
                <w:b/>
                <w:sz w:val="22"/>
                <w:szCs w:val="22"/>
              </w:rPr>
              <w:t>100%</w:t>
            </w:r>
          </w:p>
        </w:tc>
        <w:tc>
          <w:tcPr>
            <w:tcW w:w="794" w:type="dxa"/>
            <w:vAlign w:val="center"/>
          </w:tcPr>
          <w:p w:rsidR="00166A88" w:rsidRPr="005F617A" w:rsidRDefault="00166A88" w:rsidP="002E14C6">
            <w:pPr>
              <w:jc w:val="center"/>
              <w:rPr>
                <w:b/>
                <w:sz w:val="22"/>
                <w:szCs w:val="22"/>
              </w:rPr>
            </w:pPr>
            <w:r w:rsidRPr="005F617A">
              <w:rPr>
                <w:b/>
                <w:sz w:val="22"/>
                <w:szCs w:val="22"/>
              </w:rPr>
              <w:t>100%</w:t>
            </w:r>
          </w:p>
        </w:tc>
        <w:tc>
          <w:tcPr>
            <w:tcW w:w="794" w:type="dxa"/>
            <w:vAlign w:val="center"/>
          </w:tcPr>
          <w:p w:rsidR="00166A88" w:rsidRPr="005F617A" w:rsidRDefault="00166A88" w:rsidP="002E14C6">
            <w:pPr>
              <w:jc w:val="center"/>
              <w:rPr>
                <w:b/>
                <w:sz w:val="22"/>
                <w:szCs w:val="22"/>
              </w:rPr>
            </w:pPr>
            <w:r w:rsidRPr="005F617A">
              <w:rPr>
                <w:b/>
                <w:sz w:val="22"/>
                <w:szCs w:val="22"/>
              </w:rPr>
              <w:t>100%</w:t>
            </w:r>
          </w:p>
        </w:tc>
        <w:tc>
          <w:tcPr>
            <w:tcW w:w="1247" w:type="dxa"/>
            <w:vAlign w:val="center"/>
          </w:tcPr>
          <w:p w:rsidR="00166A88" w:rsidRPr="0043088A" w:rsidRDefault="00166A88" w:rsidP="004537C6">
            <w:pPr>
              <w:jc w:val="center"/>
              <w:rPr>
                <w:b/>
                <w:sz w:val="21"/>
                <w:szCs w:val="21"/>
              </w:rPr>
            </w:pPr>
            <w:r w:rsidRPr="0043088A">
              <w:rPr>
                <w:b/>
                <w:sz w:val="21"/>
                <w:szCs w:val="21"/>
              </w:rPr>
              <w:t>-1802,6 /</w:t>
            </w:r>
          </w:p>
          <w:p w:rsidR="00166A88" w:rsidRPr="0043088A" w:rsidRDefault="00166A88" w:rsidP="004537C6">
            <w:pPr>
              <w:jc w:val="center"/>
              <w:rPr>
                <w:b/>
                <w:sz w:val="21"/>
                <w:szCs w:val="21"/>
              </w:rPr>
            </w:pPr>
            <w:r w:rsidRPr="0043088A">
              <w:rPr>
                <w:b/>
                <w:sz w:val="21"/>
                <w:szCs w:val="21"/>
              </w:rPr>
              <w:t>-15,2%</w:t>
            </w:r>
          </w:p>
        </w:tc>
        <w:tc>
          <w:tcPr>
            <w:tcW w:w="1247" w:type="dxa"/>
            <w:vAlign w:val="center"/>
          </w:tcPr>
          <w:p w:rsidR="00166A88" w:rsidRPr="0043088A" w:rsidRDefault="00FB4D69" w:rsidP="008E391A">
            <w:pPr>
              <w:jc w:val="center"/>
              <w:rPr>
                <w:b/>
                <w:sz w:val="21"/>
                <w:szCs w:val="21"/>
              </w:rPr>
            </w:pPr>
            <w:r w:rsidRPr="0043088A">
              <w:rPr>
                <w:b/>
                <w:sz w:val="21"/>
                <w:szCs w:val="21"/>
              </w:rPr>
              <w:t>1531</w:t>
            </w:r>
            <w:r w:rsidR="00166A88" w:rsidRPr="0043088A">
              <w:rPr>
                <w:b/>
                <w:sz w:val="21"/>
                <w:szCs w:val="21"/>
              </w:rPr>
              <w:t>,6 /</w:t>
            </w:r>
          </w:p>
          <w:p w:rsidR="00166A88" w:rsidRPr="0043088A" w:rsidRDefault="00FB4D69" w:rsidP="008E391A">
            <w:pPr>
              <w:jc w:val="center"/>
              <w:rPr>
                <w:b/>
                <w:sz w:val="21"/>
                <w:szCs w:val="21"/>
              </w:rPr>
            </w:pPr>
            <w:r w:rsidRPr="0043088A">
              <w:rPr>
                <w:b/>
                <w:sz w:val="21"/>
                <w:szCs w:val="21"/>
              </w:rPr>
              <w:t>15,2</w:t>
            </w:r>
            <w:r w:rsidR="00166A88" w:rsidRPr="0043088A">
              <w:rPr>
                <w:b/>
                <w:sz w:val="21"/>
                <w:szCs w:val="21"/>
              </w:rPr>
              <w:t>%</w:t>
            </w:r>
          </w:p>
        </w:tc>
      </w:tr>
    </w:tbl>
    <w:p w:rsidR="004A13B7" w:rsidRPr="00A45ED0" w:rsidRDefault="004A13B7" w:rsidP="002B3F4E">
      <w:pPr>
        <w:spacing w:before="180"/>
        <w:ind w:firstLine="567"/>
        <w:jc w:val="both"/>
        <w:rPr>
          <w:i/>
        </w:rPr>
      </w:pPr>
      <w:r w:rsidRPr="0029403D">
        <w:rPr>
          <w:b/>
        </w:rPr>
        <w:t xml:space="preserve">По разделу 01 «Общегосударственные вопросы» </w:t>
      </w:r>
      <w:r w:rsidRPr="0029403D">
        <w:t xml:space="preserve">расходы в </w:t>
      </w:r>
      <w:r w:rsidR="0099504D">
        <w:t>2015</w:t>
      </w:r>
      <w:r w:rsidRPr="0029403D">
        <w:t xml:space="preserve"> году </w:t>
      </w:r>
      <w:r w:rsidR="002D3343" w:rsidRPr="0029403D">
        <w:t>исполнены</w:t>
      </w:r>
      <w:r w:rsidRPr="0029403D">
        <w:t xml:space="preserve"> в объёме </w:t>
      </w:r>
      <w:r w:rsidR="00FB4D69">
        <w:t>2434,7</w:t>
      </w:r>
      <w:r w:rsidR="000C4655">
        <w:t xml:space="preserve"> </w:t>
      </w:r>
      <w:r w:rsidRPr="0029403D">
        <w:t>тыс. руб.</w:t>
      </w:r>
      <w:r w:rsidR="00A915EB" w:rsidRPr="0029403D">
        <w:t xml:space="preserve"> или </w:t>
      </w:r>
      <w:r w:rsidR="00FB4D69">
        <w:t>92,3</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FB4D69">
        <w:t>202,0</w:t>
      </w:r>
      <w:r w:rsidR="00A81EBD" w:rsidRPr="0029403D">
        <w:t xml:space="preserve"> тыс. руб.)</w:t>
      </w:r>
      <w:r w:rsidRPr="0029403D">
        <w:t>.</w:t>
      </w:r>
      <w:r w:rsidR="002619DE" w:rsidRPr="0029403D">
        <w:t xml:space="preserve"> Удельный вес раздела в расходах бюджета составил </w:t>
      </w:r>
      <w:r w:rsidR="00A45ED0">
        <w:t>21,0</w:t>
      </w:r>
      <w:r w:rsidR="002619DE" w:rsidRPr="0029403D">
        <w:t>%.</w:t>
      </w:r>
      <w:r w:rsidR="008A42AB">
        <w:t xml:space="preserve"> </w:t>
      </w:r>
      <w:r w:rsidR="00A45ED0" w:rsidRPr="00A45ED0">
        <w:rPr>
          <w:i/>
        </w:rPr>
        <w:t xml:space="preserve">Информация о </w:t>
      </w:r>
      <w:r w:rsidR="00304B4D">
        <w:rPr>
          <w:i/>
        </w:rPr>
        <w:t xml:space="preserve">причинах </w:t>
      </w:r>
      <w:r w:rsidR="008A42AB" w:rsidRPr="00A45ED0">
        <w:rPr>
          <w:i/>
        </w:rPr>
        <w:t>неисполнени</w:t>
      </w:r>
      <w:r w:rsidR="00304B4D">
        <w:rPr>
          <w:i/>
        </w:rPr>
        <w:t>я</w:t>
      </w:r>
      <w:r w:rsidR="008A42AB" w:rsidRPr="00A45ED0">
        <w:rPr>
          <w:i/>
        </w:rPr>
        <w:t xml:space="preserve"> плана по расходам по данно</w:t>
      </w:r>
      <w:r w:rsidR="00A45ED0" w:rsidRPr="00A45ED0">
        <w:rPr>
          <w:i/>
        </w:rPr>
        <w:t>му разделу отсутствует.</w:t>
      </w:r>
    </w:p>
    <w:p w:rsidR="00736CFB" w:rsidRPr="00574FF0" w:rsidRDefault="00736CFB" w:rsidP="00736CFB">
      <w:pPr>
        <w:spacing w:before="60"/>
        <w:ind w:firstLine="567"/>
        <w:jc w:val="both"/>
        <w:rPr>
          <w:b/>
          <w:i/>
        </w:rPr>
      </w:pPr>
      <w:r w:rsidRPr="00574FF0">
        <w:t>При анализе исполнения местного бюджета за 201</w:t>
      </w:r>
      <w:r w:rsidR="009D528D">
        <w:t>5</w:t>
      </w:r>
      <w:r w:rsidRPr="00574FF0">
        <w:t xml:space="preserve"> год установлено, что расходы на содержание главы муниципального образования в объёме </w:t>
      </w:r>
      <w:r>
        <w:t>464300,00</w:t>
      </w:r>
      <w:r w:rsidRPr="00574FF0">
        <w:t xml:space="preserve"> руб. не соответствуют нормативу 464285 руб., установленному постановлением администрации Новосибирской о</w:t>
      </w:r>
      <w:r w:rsidRPr="00574FF0">
        <w:t>б</w:t>
      </w:r>
      <w:r w:rsidRPr="00574FF0">
        <w:t xml:space="preserve">ласти от 28.12.2007 № 206-па. Превышение </w:t>
      </w:r>
      <w:r>
        <w:t>15</w:t>
      </w:r>
      <w:r w:rsidRPr="00574FF0">
        <w:t xml:space="preserve"> руб.</w:t>
      </w:r>
      <w:r w:rsidRPr="00574FF0">
        <w:rPr>
          <w:b/>
          <w:i/>
        </w:rPr>
        <w:t xml:space="preserve"> Тем самым нарушен пункт 2 статьи 136 БК РФ.</w:t>
      </w:r>
    </w:p>
    <w:p w:rsidR="00A163C1" w:rsidRDefault="00313DF1" w:rsidP="002B3F4E">
      <w:pPr>
        <w:spacing w:before="60"/>
        <w:ind w:firstLine="567"/>
        <w:jc w:val="both"/>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r w:rsidR="00F86194">
        <w:rPr>
          <w:spacing w:val="-2"/>
        </w:rPr>
        <w:t xml:space="preserve"> </w:t>
      </w:r>
      <w:r w:rsidR="00A163C1">
        <w:t>Расходы</w:t>
      </w:r>
      <w:r w:rsidR="00A163C1" w:rsidRPr="00BB4CFF">
        <w:t xml:space="preserve"> на содержание органов местного самоуправления</w:t>
      </w:r>
      <w:r w:rsidR="00A163C1">
        <w:t xml:space="preserve"> в объёме </w:t>
      </w:r>
      <w:r w:rsidR="009D528D">
        <w:t>1664,0</w:t>
      </w:r>
      <w:r w:rsidR="00A163C1" w:rsidRPr="00BB4CFF">
        <w:t xml:space="preserve"> </w:t>
      </w:r>
      <w:r w:rsidR="00A163C1">
        <w:t>тыс. руб. соответствуют нормативу</w:t>
      </w:r>
      <w:r w:rsidR="00F86194">
        <w:t xml:space="preserve"> </w:t>
      </w:r>
      <w:r w:rsidR="00A163C1">
        <w:t xml:space="preserve">– </w:t>
      </w:r>
      <w:r w:rsidR="009D528D">
        <w:t>2134,0</w:t>
      </w:r>
      <w:r w:rsidR="00A163C1" w:rsidRPr="00BB4CFF">
        <w:t xml:space="preserve"> тыс. руб. (</w:t>
      </w:r>
      <w:r w:rsidR="009D528D">
        <w:t>834</w:t>
      </w:r>
      <w:r w:rsidR="00A163C1" w:rsidRPr="00BB4CFF">
        <w:t xml:space="preserve"> человек</w:t>
      </w:r>
      <w:r w:rsidR="009D528D">
        <w:t>а</w:t>
      </w:r>
      <w:r w:rsidR="00A163C1" w:rsidRPr="00BB4CFF">
        <w:t xml:space="preserve"> * </w:t>
      </w:r>
      <w:r w:rsidR="00A163C1">
        <w:t>2558,7</w:t>
      </w:r>
      <w:r w:rsidR="00A163C1" w:rsidRPr="00BB4CFF">
        <w:t xml:space="preserve"> руб.)</w:t>
      </w:r>
      <w:r w:rsidR="00A163C1">
        <w:t>.</w:t>
      </w:r>
    </w:p>
    <w:p w:rsidR="00A163C1" w:rsidRPr="00376513" w:rsidRDefault="00A163C1" w:rsidP="00A163C1">
      <w:pPr>
        <w:spacing w:before="40"/>
        <w:ind w:firstLine="567"/>
        <w:jc w:val="both"/>
        <w:rPr>
          <w:i/>
          <w:spacing w:val="-2"/>
          <w:sz w:val="20"/>
          <w:szCs w:val="20"/>
        </w:rPr>
      </w:pPr>
      <w:r w:rsidRPr="00376513">
        <w:rPr>
          <w:i/>
          <w:color w:val="000000"/>
          <w:spacing w:val="-2"/>
          <w:sz w:val="20"/>
          <w:szCs w:val="20"/>
        </w:rPr>
        <w:t>Для расчёта норматива использована численность населения по данным органа статистики на 01.01.</w:t>
      </w:r>
      <w:r w:rsidR="0099504D">
        <w:rPr>
          <w:i/>
          <w:color w:val="000000"/>
          <w:spacing w:val="-2"/>
          <w:sz w:val="20"/>
          <w:szCs w:val="20"/>
        </w:rPr>
        <w:t>2015</w:t>
      </w:r>
      <w:r w:rsidRPr="00376513">
        <w:rPr>
          <w:i/>
          <w:color w:val="000000"/>
          <w:spacing w:val="-2"/>
          <w:sz w:val="20"/>
          <w:szCs w:val="20"/>
        </w:rPr>
        <w:t xml:space="preserve"> – </w:t>
      </w:r>
      <w:r w:rsidR="009D528D">
        <w:rPr>
          <w:i/>
          <w:color w:val="000000"/>
          <w:spacing w:val="-2"/>
          <w:sz w:val="20"/>
          <w:szCs w:val="20"/>
        </w:rPr>
        <w:t>834</w:t>
      </w:r>
      <w:r w:rsidRPr="00376513">
        <w:rPr>
          <w:i/>
          <w:color w:val="000000"/>
          <w:spacing w:val="-2"/>
          <w:sz w:val="20"/>
          <w:szCs w:val="20"/>
        </w:rPr>
        <w:t xml:space="preserve"> человек</w:t>
      </w:r>
      <w:r w:rsidR="009D528D">
        <w:rPr>
          <w:i/>
          <w:color w:val="000000"/>
          <w:spacing w:val="-2"/>
          <w:sz w:val="20"/>
          <w:szCs w:val="20"/>
        </w:rPr>
        <w:t>а</w:t>
      </w:r>
      <w:r w:rsidRPr="00376513">
        <w:rPr>
          <w:i/>
          <w:color w:val="000000"/>
          <w:spacing w:val="-2"/>
          <w:sz w:val="20"/>
          <w:szCs w:val="20"/>
        </w:rPr>
        <w:t xml:space="preserve"> согласно</w:t>
      </w:r>
      <w:r w:rsidRPr="00376513">
        <w:rPr>
          <w:i/>
          <w:spacing w:val="-2"/>
          <w:sz w:val="20"/>
          <w:szCs w:val="20"/>
        </w:rPr>
        <w:t xml:space="preserve"> постановлению администрации Новосибирской области от 28.12.2007 № 206-па.</w:t>
      </w:r>
    </w:p>
    <w:p w:rsidR="004A13B7" w:rsidRPr="0029403D" w:rsidRDefault="004A13B7" w:rsidP="00B956CB">
      <w:pPr>
        <w:spacing w:before="120"/>
        <w:ind w:firstLine="567"/>
        <w:jc w:val="both"/>
      </w:pPr>
      <w:r w:rsidRPr="0029403D">
        <w:rPr>
          <w:b/>
        </w:rPr>
        <w:t xml:space="preserve">По разделу 02 «Национальная оборона» </w:t>
      </w:r>
      <w:r w:rsidR="00C800CC" w:rsidRPr="0029403D">
        <w:t xml:space="preserve">расходы в </w:t>
      </w:r>
      <w:r w:rsidR="0099504D">
        <w:t>2015</w:t>
      </w:r>
      <w:r w:rsidR="00C800CC" w:rsidRPr="0029403D">
        <w:t xml:space="preserve"> году исполнены в объёме </w:t>
      </w:r>
      <w:r w:rsidR="004537C6">
        <w:t>77,4</w:t>
      </w:r>
      <w:r w:rsidR="00C800CC" w:rsidRPr="0029403D">
        <w:t> тыс. руб. или 100% к плану.</w:t>
      </w:r>
      <w:r w:rsidR="00F34DB4" w:rsidRPr="0029403D">
        <w:t xml:space="preserve"> Удельный вес разде</w:t>
      </w:r>
      <w:r w:rsidR="00D41CF5">
        <w:t>ла</w:t>
      </w:r>
      <w:r w:rsidR="000252AD">
        <w:t xml:space="preserve"> в расходах бюджета составил </w:t>
      </w:r>
      <w:r w:rsidR="00025A3A">
        <w:t>0</w:t>
      </w:r>
      <w:r w:rsidR="000252AD">
        <w:t>,</w:t>
      </w:r>
      <w:r w:rsidR="008A42AB">
        <w:t>7</w:t>
      </w:r>
      <w:r w:rsidR="00F34DB4" w:rsidRPr="0029403D">
        <w:t>%.</w:t>
      </w:r>
    </w:p>
    <w:p w:rsidR="004537C6" w:rsidRPr="00A45ED0" w:rsidRDefault="00104D65" w:rsidP="00B956CB">
      <w:pPr>
        <w:spacing w:before="120"/>
        <w:ind w:firstLine="567"/>
        <w:jc w:val="both"/>
        <w:rPr>
          <w:i/>
        </w:rPr>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99504D">
        <w:t>2015</w:t>
      </w:r>
      <w:r w:rsidRPr="0029403D">
        <w:t xml:space="preserve"> году исполнены в объёме </w:t>
      </w:r>
      <w:r w:rsidR="004537C6">
        <w:t>13,7</w:t>
      </w:r>
      <w:r w:rsidRPr="0029403D">
        <w:t xml:space="preserve"> тыс. руб. или </w:t>
      </w:r>
      <w:r w:rsidR="004537C6">
        <w:t>33,4</w:t>
      </w:r>
      <w:r w:rsidR="00F6136D">
        <w:t>%</w:t>
      </w:r>
      <w:r w:rsidRPr="0029403D">
        <w:t xml:space="preserve"> к плану</w:t>
      </w:r>
      <w:r w:rsidR="00504D30">
        <w:t xml:space="preserve"> </w:t>
      </w:r>
      <w:r w:rsidR="00504D30" w:rsidRPr="00192DD7">
        <w:t xml:space="preserve">(недоисполнение </w:t>
      </w:r>
      <w:r w:rsidR="00504D30" w:rsidRPr="00192DD7">
        <w:lastRenderedPageBreak/>
        <w:t xml:space="preserve">– </w:t>
      </w:r>
      <w:r w:rsidR="004537C6">
        <w:t>27,3</w:t>
      </w:r>
      <w:r w:rsidR="00504D30" w:rsidRPr="00192DD7">
        <w:t xml:space="preserve"> тыс. руб.).</w:t>
      </w:r>
      <w:r w:rsidR="0028377B">
        <w:t xml:space="preserve"> </w:t>
      </w:r>
      <w:r w:rsidRPr="0029403D">
        <w:t xml:space="preserve">Удельный вес раздела в расходах бюджета составил </w:t>
      </w:r>
      <w:r w:rsidR="004537C6">
        <w:t>0,1</w:t>
      </w:r>
      <w:r w:rsidRPr="0029403D">
        <w:t>%.</w:t>
      </w:r>
      <w:r w:rsidR="00F75005">
        <w:t xml:space="preserve"> </w:t>
      </w:r>
      <w:r w:rsidR="00304B4D" w:rsidRPr="00A45ED0">
        <w:rPr>
          <w:i/>
        </w:rPr>
        <w:t xml:space="preserve">Информация о </w:t>
      </w:r>
      <w:r w:rsidR="00304B4D">
        <w:rPr>
          <w:i/>
        </w:rPr>
        <w:t xml:space="preserve">причинах </w:t>
      </w:r>
      <w:r w:rsidR="00304B4D" w:rsidRPr="00A45ED0">
        <w:rPr>
          <w:i/>
        </w:rPr>
        <w:t>неисполнени</w:t>
      </w:r>
      <w:r w:rsidR="00304B4D">
        <w:rPr>
          <w:i/>
        </w:rPr>
        <w:t>я</w:t>
      </w:r>
      <w:r w:rsidR="00304B4D" w:rsidRPr="00A45ED0">
        <w:rPr>
          <w:i/>
        </w:rPr>
        <w:t xml:space="preserve"> плана по расходам по данному разделу отсутствует.</w:t>
      </w:r>
    </w:p>
    <w:p w:rsidR="00AF4A3B" w:rsidRDefault="00981218" w:rsidP="000E3ECB">
      <w:pPr>
        <w:spacing w:before="80"/>
        <w:ind w:firstLine="567"/>
        <w:jc w:val="both"/>
        <w:rPr>
          <w:i/>
          <w:spacing w:val="-4"/>
        </w:rPr>
      </w:pPr>
      <w:r w:rsidRPr="0029403D">
        <w:rPr>
          <w:b/>
        </w:rPr>
        <w:t>По разделу 0</w:t>
      </w:r>
      <w:r w:rsidR="0068375C">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99504D">
        <w:t>2015</w:t>
      </w:r>
      <w:r w:rsidRPr="0029403D">
        <w:t xml:space="preserve"> году исполнены в объёме </w:t>
      </w:r>
      <w:r w:rsidR="00DC55E8">
        <w:t>3166,6</w:t>
      </w:r>
      <w:r w:rsidRPr="00192DD7">
        <w:t xml:space="preserve"> тыс. руб. или </w:t>
      </w:r>
      <w:r w:rsidR="00DC55E8">
        <w:t>98,6</w:t>
      </w:r>
      <w:r w:rsidRPr="00192DD7">
        <w:t>% к плану</w:t>
      </w:r>
      <w:r w:rsidR="00C628C8" w:rsidRPr="00192DD7">
        <w:t xml:space="preserve"> (недоисполнение – </w:t>
      </w:r>
      <w:r w:rsidR="00DC55E8">
        <w:t>46,4</w:t>
      </w:r>
      <w:r w:rsidR="00C628C8" w:rsidRPr="00192DD7">
        <w:t xml:space="preserve"> тыс. руб.).</w:t>
      </w:r>
      <w:r w:rsidRPr="00192DD7">
        <w:t xml:space="preserve"> Удельный вес раздела в расходах бюджета составил </w:t>
      </w:r>
      <w:r w:rsidR="00DC55E8">
        <w:t>27,4</w:t>
      </w:r>
      <w:r w:rsidRPr="00192DD7">
        <w:t>%.</w:t>
      </w:r>
    </w:p>
    <w:p w:rsidR="000A45AD" w:rsidRDefault="000A45AD" w:rsidP="000A45AD">
      <w:pPr>
        <w:spacing w:before="40"/>
        <w:ind w:firstLine="567"/>
        <w:jc w:val="both"/>
        <w:rPr>
          <w:i/>
          <w:spacing w:val="-4"/>
        </w:rPr>
      </w:pPr>
      <w:r w:rsidRPr="00691366">
        <w:rPr>
          <w:i/>
          <w:spacing w:val="-4"/>
        </w:rPr>
        <w:t>Ревизионная комиссия отмечает</w:t>
      </w:r>
      <w:r>
        <w:rPr>
          <w:i/>
          <w:spacing w:val="-4"/>
        </w:rPr>
        <w:t xml:space="preserve"> следующее:</w:t>
      </w:r>
    </w:p>
    <w:p w:rsidR="000A45AD" w:rsidRPr="003A45E1" w:rsidRDefault="000A45AD" w:rsidP="000A45AD">
      <w:pPr>
        <w:spacing w:before="40"/>
        <w:ind w:firstLine="567"/>
        <w:jc w:val="both"/>
        <w:rPr>
          <w:i/>
        </w:rPr>
      </w:pPr>
      <w:proofErr w:type="gramStart"/>
      <w:r w:rsidRPr="00C821D9">
        <w:t>1) уточнённые бюджетные назна</w:t>
      </w:r>
      <w:r>
        <w:t>чения по разделу/подразделу 0409 «</w:t>
      </w:r>
      <w:r w:rsidRPr="00C821D9">
        <w:t>Дорожное хозя</w:t>
      </w:r>
      <w:r w:rsidRPr="00C821D9">
        <w:t>й</w:t>
      </w:r>
      <w:r w:rsidRPr="00C821D9">
        <w:t>ство (дорожные фонды)</w:t>
      </w:r>
      <w:r>
        <w:t xml:space="preserve">» составляют 3207,0 тыс. руб., что соответствует сумме </w:t>
      </w:r>
      <w:r w:rsidRPr="00C821D9">
        <w:t>уточнённы</w:t>
      </w:r>
      <w:r>
        <w:t>х</w:t>
      </w:r>
      <w:r w:rsidRPr="00C821D9">
        <w:t xml:space="preserve"> бюджетны</w:t>
      </w:r>
      <w:r>
        <w:t>х</w:t>
      </w:r>
      <w:r w:rsidRPr="00C821D9">
        <w:t xml:space="preserve"> назна</w:t>
      </w:r>
      <w:r>
        <w:t>чений по КБК 296</w:t>
      </w:r>
      <w:r w:rsidRPr="00C821D9">
        <w:t xml:space="preserve"> 1 03 02000 01 0000 110</w:t>
      </w:r>
      <w:r>
        <w:t xml:space="preserve"> «</w:t>
      </w:r>
      <w:r w:rsidRPr="00C821D9">
        <w:t>Акцизы по подакцизным тов</w:t>
      </w:r>
      <w:r w:rsidRPr="00C821D9">
        <w:t>а</w:t>
      </w:r>
      <w:r w:rsidRPr="00C821D9">
        <w:t>рам (продукции), производимым на территории Российской Федерации</w:t>
      </w:r>
      <w:r>
        <w:t>» в сумме 369,9 тыс. руб. и по КБК 296</w:t>
      </w:r>
      <w:r w:rsidRPr="007C3568">
        <w:t xml:space="preserve"> 2 02 02216 10 0000 151</w:t>
      </w:r>
      <w:r>
        <w:t xml:space="preserve"> «</w:t>
      </w:r>
      <w:r w:rsidRPr="007C3568">
        <w:t>Субсидии бюджетам сельских поселений</w:t>
      </w:r>
      <w:proofErr w:type="gramEnd"/>
      <w:r w:rsidRPr="007C3568">
        <w:t xml:space="preserve"> на ос</w:t>
      </w:r>
      <w:r w:rsidRPr="007C3568">
        <w:t>у</w:t>
      </w:r>
      <w:r w:rsidRPr="007C3568">
        <w:t>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r>
        <w:t xml:space="preserve">» в сумме </w:t>
      </w:r>
      <w:r w:rsidR="0071093B">
        <w:t>2425,2</w:t>
      </w:r>
      <w:r>
        <w:t xml:space="preserve"> тыс. руб., </w:t>
      </w:r>
      <w:r w:rsidRPr="00772616">
        <w:t>тем самым соблюдается пункт 5 статьи 179.4 БК РФ</w:t>
      </w:r>
      <w:r w:rsidRPr="003A45E1">
        <w:rPr>
          <w:i/>
        </w:rPr>
        <w:t>:</w:t>
      </w:r>
    </w:p>
    <w:p w:rsidR="000A45AD" w:rsidRPr="0067446F" w:rsidRDefault="000A45AD" w:rsidP="000A45AD">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от:</w:t>
      </w:r>
    </w:p>
    <w:p w:rsidR="000A45AD" w:rsidRPr="0067446F" w:rsidRDefault="000A45AD" w:rsidP="000A45AD">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(инжекторных) двигателей, производимые на территории Российской Федерации, подлежащих зачислению в местный бюджет;</w:t>
      </w:r>
    </w:p>
    <w:p w:rsidR="000A45AD" w:rsidRDefault="000A45AD" w:rsidP="000A45AD">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0A45AD" w:rsidRDefault="000A45AD" w:rsidP="000A45AD">
      <w:pPr>
        <w:autoSpaceDE w:val="0"/>
        <w:autoSpaceDN w:val="0"/>
        <w:adjustRightInd w:val="0"/>
        <w:spacing w:before="40"/>
        <w:ind w:firstLine="540"/>
        <w:jc w:val="both"/>
        <w:rPr>
          <w:i/>
          <w:iCs/>
          <w:sz w:val="20"/>
          <w:szCs w:val="20"/>
        </w:rPr>
      </w:pPr>
      <w:r>
        <w:t>2) исполнение по разделу/подразделу 0409 «</w:t>
      </w:r>
      <w:r w:rsidRPr="00C821D9">
        <w:t>Дорожное хозяйство (дорожные фонды)</w:t>
      </w:r>
      <w:r>
        <w:t xml:space="preserve">» составляет </w:t>
      </w:r>
      <w:r w:rsidR="0071093B">
        <w:t>3161,8</w:t>
      </w:r>
      <w:r>
        <w:t xml:space="preserve"> тыс. руб., что соответствует сумме исполнения по КБК </w:t>
      </w:r>
      <w:r w:rsidR="0071093B">
        <w:t>296</w:t>
      </w:r>
      <w:r w:rsidRPr="00C821D9">
        <w:t xml:space="preserve"> 1 03 02000 01 0000 110</w:t>
      </w:r>
      <w:r>
        <w:t xml:space="preserve"> «</w:t>
      </w:r>
      <w:r w:rsidRPr="00C821D9">
        <w:t>Акцизы по подакцизным товарам (продукции), производимым на территории Ро</w:t>
      </w:r>
      <w:r w:rsidRPr="00C821D9">
        <w:t>с</w:t>
      </w:r>
      <w:r w:rsidRPr="00C821D9">
        <w:t>сийской Федерации</w:t>
      </w:r>
      <w:r>
        <w:t xml:space="preserve">» в сумме </w:t>
      </w:r>
      <w:r w:rsidR="006953EC">
        <w:t>425,0</w:t>
      </w:r>
      <w:r>
        <w:t xml:space="preserve"> тыс. руб. и по КБК </w:t>
      </w:r>
      <w:r w:rsidR="00073629">
        <w:t>296</w:t>
      </w:r>
      <w:r w:rsidRPr="007C3568">
        <w:t xml:space="preserve"> 2 02 02216 10 0000 151</w:t>
      </w:r>
      <w:r>
        <w:t xml:space="preserve"> «</w:t>
      </w:r>
      <w:r w:rsidRPr="007C3568">
        <w:t>Субсидии бюджетам сельских поселений на осуществление дорожной деятельности в отношении авт</w:t>
      </w:r>
      <w:r w:rsidRPr="007C3568">
        <w:t>о</w:t>
      </w:r>
      <w:r w:rsidRPr="007C3568">
        <w:t>мобильных дорог общего пользования, а также капитального ремонта и ремонта дворовых территорий многоквартирных домов</w:t>
      </w:r>
      <w:r>
        <w:t>»</w:t>
      </w:r>
      <w:r w:rsidRPr="00903DEF">
        <w:t xml:space="preserve"> </w:t>
      </w:r>
      <w:r>
        <w:t xml:space="preserve">в сумме </w:t>
      </w:r>
      <w:r w:rsidR="006953EC">
        <w:t>2405,9</w:t>
      </w:r>
      <w:r>
        <w:t xml:space="preserve"> тыс. руб.</w:t>
      </w:r>
    </w:p>
    <w:p w:rsidR="009E07C8" w:rsidRPr="00A45ED0" w:rsidRDefault="004A13B7" w:rsidP="00B956CB">
      <w:pPr>
        <w:spacing w:before="120"/>
        <w:ind w:firstLine="567"/>
        <w:jc w:val="both"/>
        <w:rPr>
          <w:i/>
        </w:rPr>
      </w:pPr>
      <w:r w:rsidRPr="00192DD7">
        <w:rPr>
          <w:b/>
        </w:rPr>
        <w:t>По разделу 05 «Жилищно-коммунальное хозяйство»</w:t>
      </w:r>
      <w:r w:rsidRPr="00192DD7">
        <w:t xml:space="preserve"> </w:t>
      </w:r>
      <w:r w:rsidR="00C800CC" w:rsidRPr="00192DD7">
        <w:t xml:space="preserve">расходы в </w:t>
      </w:r>
      <w:r w:rsidR="0099504D">
        <w:t>2015</w:t>
      </w:r>
      <w:r w:rsidR="00C800CC" w:rsidRPr="00192DD7">
        <w:t xml:space="preserve"> году исполнены в объёме </w:t>
      </w:r>
      <w:r w:rsidR="006953EC">
        <w:t>1468,3</w:t>
      </w:r>
      <w:r w:rsidR="00C800CC" w:rsidRPr="00192DD7">
        <w:t xml:space="preserve"> тыс. руб. или </w:t>
      </w:r>
      <w:r w:rsidR="006953EC">
        <w:t>90,0</w:t>
      </w:r>
      <w:r w:rsidR="00C800CC" w:rsidRPr="00192DD7">
        <w:t>% к плану</w:t>
      </w:r>
      <w:r w:rsidR="00C628C8" w:rsidRPr="00192DD7">
        <w:t xml:space="preserve"> (недоисполнение – </w:t>
      </w:r>
      <w:r w:rsidR="006953EC">
        <w:t>163,7</w:t>
      </w:r>
      <w:r w:rsidR="00C628C8" w:rsidRPr="00192DD7">
        <w:t xml:space="preserve"> тыс. руб.).</w:t>
      </w:r>
      <w:r w:rsidR="00F34DB4" w:rsidRPr="00192DD7">
        <w:t xml:space="preserve"> Удельный вес раздела в расходах бюджета составил </w:t>
      </w:r>
      <w:r w:rsidR="006953EC">
        <w:t>12,7</w:t>
      </w:r>
      <w:r w:rsidR="00F34DB4" w:rsidRPr="00192DD7">
        <w:t>%.</w:t>
      </w:r>
      <w:r w:rsidR="001757A5" w:rsidRPr="00192DD7">
        <w:t xml:space="preserve"> </w:t>
      </w:r>
      <w:r w:rsidR="00304B4D" w:rsidRPr="00A45ED0">
        <w:rPr>
          <w:i/>
        </w:rPr>
        <w:t xml:space="preserve">Информация о </w:t>
      </w:r>
      <w:r w:rsidR="00304B4D">
        <w:rPr>
          <w:i/>
        </w:rPr>
        <w:t xml:space="preserve">причинах </w:t>
      </w:r>
      <w:r w:rsidR="00304B4D" w:rsidRPr="00A45ED0">
        <w:rPr>
          <w:i/>
        </w:rPr>
        <w:t>неисполнени</w:t>
      </w:r>
      <w:r w:rsidR="00304B4D">
        <w:rPr>
          <w:i/>
        </w:rPr>
        <w:t>я</w:t>
      </w:r>
      <w:r w:rsidR="00304B4D" w:rsidRPr="00A45ED0">
        <w:rPr>
          <w:i/>
        </w:rPr>
        <w:t xml:space="preserve"> плана по расходам по данному разделу отсутствует.</w:t>
      </w:r>
    </w:p>
    <w:p w:rsidR="009E07C8" w:rsidRPr="00A45ED0" w:rsidRDefault="008A42AB" w:rsidP="00B956CB">
      <w:pPr>
        <w:spacing w:before="120"/>
        <w:ind w:firstLine="567"/>
        <w:jc w:val="both"/>
        <w:rPr>
          <w:i/>
        </w:rPr>
      </w:pPr>
      <w:r w:rsidRPr="0029403D">
        <w:rPr>
          <w:b/>
          <w:bCs/>
        </w:rPr>
        <w:t>По разделу 0</w:t>
      </w:r>
      <w:r>
        <w:rPr>
          <w:b/>
          <w:bCs/>
        </w:rPr>
        <w:t>7</w:t>
      </w:r>
      <w:r w:rsidRPr="0029403D">
        <w:rPr>
          <w:b/>
          <w:bCs/>
        </w:rPr>
        <w:t xml:space="preserve"> «</w:t>
      </w:r>
      <w:r>
        <w:rPr>
          <w:b/>
          <w:bCs/>
        </w:rPr>
        <w:t>Образование</w:t>
      </w:r>
      <w:r w:rsidRPr="0029403D">
        <w:rPr>
          <w:b/>
          <w:bCs/>
        </w:rPr>
        <w:t>»</w:t>
      </w:r>
      <w:r w:rsidRPr="0029403D">
        <w:rPr>
          <w:bCs/>
        </w:rPr>
        <w:t xml:space="preserve"> </w:t>
      </w:r>
      <w:r w:rsidRPr="0029403D">
        <w:t xml:space="preserve">расходы в </w:t>
      </w:r>
      <w:r w:rsidR="0099504D">
        <w:t>2015</w:t>
      </w:r>
      <w:r w:rsidRPr="0029403D">
        <w:t xml:space="preserve"> году исполнены в объёме </w:t>
      </w:r>
      <w:r w:rsidR="009E07C8">
        <w:t>6</w:t>
      </w:r>
      <w:r>
        <w:t>,0</w:t>
      </w:r>
      <w:r w:rsidRPr="0029403D">
        <w:t xml:space="preserve"> тыс. руб. или </w:t>
      </w:r>
      <w:r w:rsidR="009E07C8">
        <w:t>40,0</w:t>
      </w:r>
      <w:r w:rsidR="009E07C8" w:rsidRPr="00192DD7">
        <w:t xml:space="preserve">% к плану (недоисполнение – </w:t>
      </w:r>
      <w:r w:rsidR="009E07C8">
        <w:t>9,0</w:t>
      </w:r>
      <w:r w:rsidR="009E07C8" w:rsidRPr="00192DD7">
        <w:t xml:space="preserve"> тыс. руб.). Удельный вес раздела в расходах бю</w:t>
      </w:r>
      <w:r w:rsidR="009E07C8" w:rsidRPr="00192DD7">
        <w:t>д</w:t>
      </w:r>
      <w:r w:rsidR="009E07C8" w:rsidRPr="00192DD7">
        <w:t xml:space="preserve">жета составил </w:t>
      </w:r>
      <w:r w:rsidR="009E07C8">
        <w:t>0,1</w:t>
      </w:r>
      <w:r w:rsidR="009E07C8" w:rsidRPr="00192DD7">
        <w:t xml:space="preserve">%. </w:t>
      </w:r>
      <w:r w:rsidR="00304B4D" w:rsidRPr="00A45ED0">
        <w:rPr>
          <w:i/>
        </w:rPr>
        <w:t xml:space="preserve">Информация о </w:t>
      </w:r>
      <w:r w:rsidR="00304B4D">
        <w:rPr>
          <w:i/>
        </w:rPr>
        <w:t xml:space="preserve">причинах </w:t>
      </w:r>
      <w:r w:rsidR="00304B4D" w:rsidRPr="00A45ED0">
        <w:rPr>
          <w:i/>
        </w:rPr>
        <w:t>неисполнени</w:t>
      </w:r>
      <w:r w:rsidR="00304B4D">
        <w:rPr>
          <w:i/>
        </w:rPr>
        <w:t>я</w:t>
      </w:r>
      <w:r w:rsidR="00304B4D" w:rsidRPr="00A45ED0">
        <w:rPr>
          <w:i/>
        </w:rPr>
        <w:t xml:space="preserve"> плана по расходам по данному разделу отсутствует.</w:t>
      </w:r>
    </w:p>
    <w:p w:rsidR="00AF4A3B" w:rsidRPr="00A45ED0" w:rsidRDefault="004A13B7" w:rsidP="00B956CB">
      <w:pPr>
        <w:spacing w:before="120"/>
        <w:ind w:firstLine="567"/>
        <w:jc w:val="both"/>
        <w:rPr>
          <w:i/>
        </w:rPr>
      </w:pPr>
      <w:r w:rsidRPr="00192DD7">
        <w:rPr>
          <w:b/>
        </w:rPr>
        <w:t>По разделу 08 «Культура, кинематография»</w:t>
      </w:r>
      <w:r w:rsidRPr="00192DD7">
        <w:t xml:space="preserve"> </w:t>
      </w:r>
      <w:r w:rsidR="009262CF" w:rsidRPr="00192DD7">
        <w:t xml:space="preserve">расходы в </w:t>
      </w:r>
      <w:r w:rsidR="0099504D">
        <w:t>2015</w:t>
      </w:r>
      <w:r w:rsidR="009262CF" w:rsidRPr="00192DD7">
        <w:t xml:space="preserve"> году исполнены в объ</w:t>
      </w:r>
      <w:r w:rsidR="009262CF" w:rsidRPr="00192DD7">
        <w:t>ё</w:t>
      </w:r>
      <w:r w:rsidR="009262CF" w:rsidRPr="00192DD7">
        <w:t xml:space="preserve">ме </w:t>
      </w:r>
      <w:r w:rsidR="009E07C8">
        <w:t>4266,3</w:t>
      </w:r>
      <w:r w:rsidR="009262CF" w:rsidRPr="00192DD7">
        <w:t xml:space="preserve"> тыс. руб. или </w:t>
      </w:r>
      <w:r w:rsidR="009E07C8">
        <w:t>92,4</w:t>
      </w:r>
      <w:r w:rsidR="009262CF" w:rsidRPr="00192DD7">
        <w:t>% к плану</w:t>
      </w:r>
      <w:r w:rsidR="009F7257" w:rsidRPr="00192DD7">
        <w:t xml:space="preserve"> (недоисполнение – </w:t>
      </w:r>
      <w:r w:rsidR="009E07C8">
        <w:t>350</w:t>
      </w:r>
      <w:r w:rsidR="008A42AB">
        <w:t>,4</w:t>
      </w:r>
      <w:r w:rsidR="009F7257" w:rsidRPr="00192DD7">
        <w:t xml:space="preserve"> тыс. руб.)</w:t>
      </w:r>
      <w:r w:rsidR="009262CF" w:rsidRPr="00192DD7">
        <w:t>.</w:t>
      </w:r>
      <w:r w:rsidR="00F34DB4" w:rsidRPr="00192DD7">
        <w:t xml:space="preserve"> </w:t>
      </w:r>
      <w:r w:rsidR="00F34DB4" w:rsidRPr="008146BA">
        <w:rPr>
          <w:i/>
          <w:u w:val="single"/>
        </w:rPr>
        <w:t>Удельный вес ра</w:t>
      </w:r>
      <w:r w:rsidR="00F34DB4" w:rsidRPr="008146BA">
        <w:rPr>
          <w:i/>
          <w:u w:val="single"/>
        </w:rPr>
        <w:t>з</w:t>
      </w:r>
      <w:r w:rsidR="00F34DB4" w:rsidRPr="008146BA">
        <w:rPr>
          <w:i/>
          <w:u w:val="single"/>
        </w:rPr>
        <w:t xml:space="preserve">дела в расходах бюджета составил </w:t>
      </w:r>
      <w:r w:rsidR="009E07C8" w:rsidRPr="008146BA">
        <w:rPr>
          <w:i/>
          <w:u w:val="single"/>
        </w:rPr>
        <w:t>36,9</w:t>
      </w:r>
      <w:r w:rsidR="00F34DB4" w:rsidRPr="008146BA">
        <w:rPr>
          <w:i/>
          <w:u w:val="single"/>
        </w:rPr>
        <w:t>%.</w:t>
      </w:r>
      <w:r w:rsidR="00AF4A3B" w:rsidRPr="00AF4A3B">
        <w:rPr>
          <w:i/>
        </w:rPr>
        <w:t xml:space="preserve"> </w:t>
      </w:r>
      <w:r w:rsidR="00304B4D" w:rsidRPr="00A45ED0">
        <w:rPr>
          <w:i/>
        </w:rPr>
        <w:t xml:space="preserve">Информация о </w:t>
      </w:r>
      <w:r w:rsidR="00304B4D">
        <w:rPr>
          <w:i/>
        </w:rPr>
        <w:t xml:space="preserve">причинах </w:t>
      </w:r>
      <w:r w:rsidR="00304B4D" w:rsidRPr="00A45ED0">
        <w:rPr>
          <w:i/>
        </w:rPr>
        <w:t>неисполнени</w:t>
      </w:r>
      <w:r w:rsidR="00304B4D">
        <w:rPr>
          <w:i/>
        </w:rPr>
        <w:t>я</w:t>
      </w:r>
      <w:r w:rsidR="00304B4D" w:rsidRPr="00A45ED0">
        <w:rPr>
          <w:i/>
        </w:rPr>
        <w:t xml:space="preserve"> плана по расходам по данно</w:t>
      </w:r>
      <w:r w:rsidR="00304B4D">
        <w:rPr>
          <w:i/>
        </w:rPr>
        <w:t>му разделу</w:t>
      </w:r>
      <w:r w:rsidR="00AF4A3B">
        <w:rPr>
          <w:i/>
        </w:rPr>
        <w:t>, а также о причинах существенного увеличения расходов</w:t>
      </w:r>
      <w:r w:rsidR="00AF4A3B" w:rsidRPr="00A45ED0">
        <w:rPr>
          <w:i/>
        </w:rPr>
        <w:t xml:space="preserve"> </w:t>
      </w:r>
      <w:r w:rsidR="00AF4A3B">
        <w:rPr>
          <w:i/>
        </w:rPr>
        <w:t xml:space="preserve">по отношению к 2014 году, </w:t>
      </w:r>
      <w:r w:rsidR="00AF4A3B" w:rsidRPr="00A45ED0">
        <w:rPr>
          <w:i/>
        </w:rPr>
        <w:t>отсутств</w:t>
      </w:r>
      <w:r w:rsidR="00AF4A3B">
        <w:rPr>
          <w:i/>
        </w:rPr>
        <w:t>у</w:t>
      </w:r>
      <w:r w:rsidR="00AF4A3B" w:rsidRPr="00A45ED0">
        <w:rPr>
          <w:i/>
        </w:rPr>
        <w:t>ет.</w:t>
      </w:r>
    </w:p>
    <w:p w:rsidR="008146BA" w:rsidRPr="00A45ED0" w:rsidRDefault="004A13B7" w:rsidP="00B956CB">
      <w:pPr>
        <w:spacing w:before="120"/>
        <w:ind w:firstLine="567"/>
        <w:jc w:val="both"/>
        <w:rPr>
          <w:i/>
        </w:rPr>
      </w:pPr>
      <w:r w:rsidRPr="0029403D">
        <w:rPr>
          <w:b/>
          <w:bCs/>
        </w:rPr>
        <w:t>По разделу 10 «Социальная политика»</w:t>
      </w:r>
      <w:r w:rsidRPr="0029403D">
        <w:rPr>
          <w:bCs/>
        </w:rPr>
        <w:t xml:space="preserve"> </w:t>
      </w:r>
      <w:r w:rsidR="009262CF" w:rsidRPr="0029403D">
        <w:t xml:space="preserve">расходы в </w:t>
      </w:r>
      <w:r w:rsidR="0099504D">
        <w:t>2015</w:t>
      </w:r>
      <w:r w:rsidR="009262CF" w:rsidRPr="0029403D">
        <w:t xml:space="preserve"> году исполнены в объёме </w:t>
      </w:r>
      <w:r w:rsidR="001B5A4C">
        <w:t>142,7</w:t>
      </w:r>
      <w:r w:rsidR="009262CF" w:rsidRPr="0029403D">
        <w:t xml:space="preserve"> тыс. руб. или </w:t>
      </w:r>
      <w:r w:rsidR="001B5A4C">
        <w:t>98,6</w:t>
      </w:r>
      <w:r w:rsidR="00D55E5F" w:rsidRPr="0029403D">
        <w:t>% к плану</w:t>
      </w:r>
      <w:r w:rsidR="00103F23">
        <w:t xml:space="preserve"> </w:t>
      </w:r>
      <w:r w:rsidR="00103F23" w:rsidRPr="00192DD7">
        <w:t xml:space="preserve">(недоисполнение – </w:t>
      </w:r>
      <w:r w:rsidR="001B5A4C">
        <w:t>2,0</w:t>
      </w:r>
      <w:r w:rsidR="00103F23" w:rsidRPr="00192DD7">
        <w:t xml:space="preserve"> тыс. руб.). </w:t>
      </w:r>
      <w:r w:rsidR="00D55E5F" w:rsidRPr="0029403D">
        <w:t xml:space="preserve"> </w:t>
      </w:r>
      <w:r w:rsidR="00F34DB4" w:rsidRPr="0029403D">
        <w:t xml:space="preserve">Удельный вес раздела в расходах бюджета составил </w:t>
      </w:r>
      <w:r w:rsidR="001B5A4C">
        <w:t>1,2</w:t>
      </w:r>
      <w:r w:rsidR="00F34DB4" w:rsidRPr="0029403D">
        <w:t>%.</w:t>
      </w:r>
    </w:p>
    <w:p w:rsidR="001B5A4C" w:rsidRPr="00A45ED0" w:rsidRDefault="003358A7" w:rsidP="00B956CB">
      <w:pPr>
        <w:spacing w:before="120"/>
        <w:ind w:firstLine="567"/>
        <w:jc w:val="both"/>
        <w:rPr>
          <w:i/>
        </w:rPr>
      </w:pPr>
      <w:r w:rsidRPr="00255B81">
        <w:rPr>
          <w:b/>
          <w:bCs/>
          <w:spacing w:val="-4"/>
        </w:rPr>
        <w:t>По разделу 11 «Физическая культура и спорт»</w:t>
      </w:r>
      <w:r w:rsidRPr="00255B81">
        <w:rPr>
          <w:bCs/>
          <w:spacing w:val="-4"/>
        </w:rPr>
        <w:t xml:space="preserve"> </w:t>
      </w:r>
      <w:r w:rsidRPr="00255B81">
        <w:rPr>
          <w:spacing w:val="-4"/>
        </w:rPr>
        <w:t xml:space="preserve">расходы в </w:t>
      </w:r>
      <w:r w:rsidR="0099504D">
        <w:rPr>
          <w:spacing w:val="-4"/>
        </w:rPr>
        <w:t>2015</w:t>
      </w:r>
      <w:r w:rsidRPr="00255B81">
        <w:rPr>
          <w:spacing w:val="-4"/>
        </w:rPr>
        <w:t xml:space="preserve"> году исполнены в объёме </w:t>
      </w:r>
      <w:r w:rsidR="001B5A4C">
        <w:rPr>
          <w:spacing w:val="-4"/>
        </w:rPr>
        <w:t>0,0</w:t>
      </w:r>
      <w:r w:rsidRPr="00255B81">
        <w:rPr>
          <w:spacing w:val="-4"/>
        </w:rPr>
        <w:t xml:space="preserve"> тыс. руб. </w:t>
      </w:r>
      <w:r w:rsidR="00255B81" w:rsidRPr="00255B81">
        <w:rPr>
          <w:spacing w:val="-4"/>
        </w:rPr>
        <w:t xml:space="preserve">или </w:t>
      </w:r>
      <w:r w:rsidR="001B5A4C">
        <w:rPr>
          <w:spacing w:val="-4"/>
        </w:rPr>
        <w:t>0,0</w:t>
      </w:r>
      <w:r w:rsidR="00255B81" w:rsidRPr="00255B81">
        <w:rPr>
          <w:spacing w:val="-4"/>
        </w:rPr>
        <w:t>% к плану</w:t>
      </w:r>
      <w:r w:rsidR="00103F23">
        <w:rPr>
          <w:spacing w:val="-4"/>
        </w:rPr>
        <w:t xml:space="preserve"> </w:t>
      </w:r>
      <w:r w:rsidR="00103F23" w:rsidRPr="00192DD7">
        <w:t xml:space="preserve">(недоисполнение – </w:t>
      </w:r>
      <w:r w:rsidR="001B5A4C">
        <w:t>14,4</w:t>
      </w:r>
      <w:r w:rsidR="00103F23" w:rsidRPr="00192DD7">
        <w:t xml:space="preserve"> тыс. руб.).</w:t>
      </w:r>
      <w:r w:rsidRPr="00255B81">
        <w:rPr>
          <w:spacing w:val="-4"/>
        </w:rPr>
        <w:t xml:space="preserve"> </w:t>
      </w:r>
      <w:r w:rsidR="00304B4D" w:rsidRPr="00A45ED0">
        <w:rPr>
          <w:i/>
        </w:rPr>
        <w:t xml:space="preserve">Информация о </w:t>
      </w:r>
      <w:r w:rsidR="00304B4D">
        <w:rPr>
          <w:i/>
        </w:rPr>
        <w:t xml:space="preserve">причинах </w:t>
      </w:r>
      <w:r w:rsidR="00304B4D" w:rsidRPr="00A45ED0">
        <w:rPr>
          <w:i/>
        </w:rPr>
        <w:t>н</w:t>
      </w:r>
      <w:r w:rsidR="00304B4D" w:rsidRPr="00A45ED0">
        <w:rPr>
          <w:i/>
        </w:rPr>
        <w:t>е</w:t>
      </w:r>
      <w:r w:rsidR="00304B4D" w:rsidRPr="00A45ED0">
        <w:rPr>
          <w:i/>
        </w:rPr>
        <w:t>исполнени</w:t>
      </w:r>
      <w:r w:rsidR="00304B4D">
        <w:rPr>
          <w:i/>
        </w:rPr>
        <w:t>я</w:t>
      </w:r>
      <w:r w:rsidR="00304B4D" w:rsidRPr="00A45ED0">
        <w:rPr>
          <w:i/>
        </w:rPr>
        <w:t xml:space="preserve"> плана по расходам по данному разделу отсутствует.</w:t>
      </w:r>
    </w:p>
    <w:p w:rsidR="000E3ECB" w:rsidRDefault="00DA3754" w:rsidP="009F4283">
      <w:pPr>
        <w:spacing w:before="240"/>
        <w:ind w:firstLine="567"/>
        <w:jc w:val="both"/>
      </w:pPr>
      <w:r w:rsidRPr="00162BA1">
        <w:rPr>
          <w:b/>
        </w:rPr>
        <w:t xml:space="preserve">Вывод: годовой отчёт об исполнении бюджета </w:t>
      </w:r>
      <w:r>
        <w:rPr>
          <w:b/>
        </w:rPr>
        <w:t>Куба</w:t>
      </w:r>
      <w:r w:rsidRPr="00162BA1">
        <w:rPr>
          <w:b/>
        </w:rPr>
        <w:t xml:space="preserve">нского сельсовета Каргатского района Новосибирской области за </w:t>
      </w:r>
      <w:r>
        <w:rPr>
          <w:b/>
        </w:rPr>
        <w:t>2015</w:t>
      </w:r>
      <w:r w:rsidRPr="00162BA1">
        <w:rPr>
          <w:b/>
        </w:rPr>
        <w:t xml:space="preserve"> год признать </w:t>
      </w:r>
      <w:r>
        <w:rPr>
          <w:b/>
        </w:rPr>
        <w:t>не</w:t>
      </w:r>
      <w:r w:rsidRPr="007F3D31">
        <w:rPr>
          <w:b/>
        </w:rPr>
        <w:t>досто</w:t>
      </w:r>
      <w:r w:rsidRPr="00162BA1">
        <w:rPr>
          <w:b/>
        </w:rPr>
        <w:t>верным.</w:t>
      </w:r>
      <w:r w:rsidR="000E3ECB">
        <w:br w:type="page"/>
      </w:r>
    </w:p>
    <w:p w:rsidR="00313DF1" w:rsidRPr="00F435AA" w:rsidRDefault="00313DF1" w:rsidP="002B3F4E">
      <w:pPr>
        <w:spacing w:before="180"/>
        <w:ind w:firstLine="567"/>
        <w:jc w:val="both"/>
      </w:pPr>
      <w:r w:rsidRPr="00F435AA">
        <w:lastRenderedPageBreak/>
        <w:t xml:space="preserve">Учитывая </w:t>
      </w:r>
      <w:proofErr w:type="gramStart"/>
      <w:r w:rsidRPr="00F435AA">
        <w:t>изложенное</w:t>
      </w:r>
      <w:proofErr w:type="gramEnd"/>
      <w:r w:rsidRPr="00F435AA">
        <w:t>, Ревизионная комиссия предлагает:</w:t>
      </w:r>
    </w:p>
    <w:p w:rsidR="00313DF1" w:rsidRPr="00F435AA" w:rsidRDefault="00313DF1" w:rsidP="002B3F4E">
      <w:pPr>
        <w:spacing w:before="180"/>
        <w:ind w:firstLine="567"/>
        <w:rPr>
          <w:b/>
          <w:i/>
        </w:rPr>
      </w:pPr>
      <w:r w:rsidRPr="00F435AA">
        <w:rPr>
          <w:b/>
          <w:i/>
        </w:rPr>
        <w:t xml:space="preserve">Администрации </w:t>
      </w:r>
      <w:r>
        <w:rPr>
          <w:b/>
          <w:i/>
        </w:rPr>
        <w:t>Куба</w:t>
      </w:r>
      <w:r w:rsidRPr="00FB3B4C">
        <w:rPr>
          <w:b/>
          <w:i/>
        </w:rPr>
        <w:t>нского</w:t>
      </w:r>
      <w:r w:rsidRPr="00162BA1">
        <w:rPr>
          <w:b/>
        </w:rPr>
        <w:t xml:space="preserve"> </w:t>
      </w:r>
      <w:r w:rsidRPr="00F435AA">
        <w:rPr>
          <w:b/>
          <w:i/>
        </w:rPr>
        <w:t>сельсовета:</w:t>
      </w:r>
    </w:p>
    <w:p w:rsidR="00192DD7" w:rsidRDefault="00192DD7" w:rsidP="002B3F4E">
      <w:pPr>
        <w:spacing w:before="60"/>
        <w:ind w:firstLine="567"/>
        <w:jc w:val="both"/>
      </w:pPr>
      <w:r>
        <w:t>1) отчёт об исполнении местного бюджета должен предоставляться на внешнюю пр</w:t>
      </w:r>
      <w:r>
        <w:t>о</w:t>
      </w:r>
      <w:r>
        <w:t>верку строго в срок, установленный</w:t>
      </w:r>
      <w:r w:rsidRPr="0051709E">
        <w:t xml:space="preserve"> пунктом 3 статьи 264.4 БК РФ</w:t>
      </w:r>
      <w:r w:rsidR="00440F81">
        <w:t xml:space="preserve"> (</w:t>
      </w:r>
      <w:r w:rsidR="00440F81">
        <w:rPr>
          <w:b/>
          <w:i/>
        </w:rPr>
        <w:t>на</w:t>
      </w:r>
      <w:r w:rsidR="00440F81" w:rsidRPr="001D0CF9">
        <w:rPr>
          <w:b/>
          <w:i/>
        </w:rPr>
        <w:t xml:space="preserve"> данн</w:t>
      </w:r>
      <w:r w:rsidR="00440F81">
        <w:rPr>
          <w:b/>
          <w:i/>
        </w:rPr>
        <w:t>ое нарушение</w:t>
      </w:r>
      <w:r w:rsidR="00440F81" w:rsidRPr="001D0CF9">
        <w:rPr>
          <w:b/>
          <w:i/>
        </w:rPr>
        <w:t xml:space="preserve"> было указано в экспертн</w:t>
      </w:r>
      <w:r w:rsidR="00EC7A7C">
        <w:rPr>
          <w:b/>
          <w:i/>
        </w:rPr>
        <w:t>ом</w:t>
      </w:r>
      <w:r w:rsidR="00440F81" w:rsidRPr="001D0CF9">
        <w:rPr>
          <w:b/>
          <w:i/>
        </w:rPr>
        <w:t xml:space="preserve"> заключен</w:t>
      </w:r>
      <w:r w:rsidR="00EC7A7C">
        <w:rPr>
          <w:b/>
          <w:i/>
        </w:rPr>
        <w:t>и</w:t>
      </w:r>
      <w:r w:rsidR="00440F81" w:rsidRPr="001D0CF9">
        <w:rPr>
          <w:b/>
          <w:i/>
        </w:rPr>
        <w:t>и по результатам внешней проверки годов</w:t>
      </w:r>
      <w:r w:rsidR="00EC7A7C">
        <w:rPr>
          <w:b/>
          <w:i/>
        </w:rPr>
        <w:t>ого</w:t>
      </w:r>
      <w:r w:rsidR="00440F81" w:rsidRPr="001D0CF9">
        <w:rPr>
          <w:b/>
          <w:i/>
        </w:rPr>
        <w:t xml:space="preserve"> о</w:t>
      </w:r>
      <w:r w:rsidR="00440F81" w:rsidRPr="001D0CF9">
        <w:rPr>
          <w:b/>
          <w:i/>
        </w:rPr>
        <w:t>т</w:t>
      </w:r>
      <w:r w:rsidR="00440F81" w:rsidRPr="001D0CF9">
        <w:rPr>
          <w:b/>
          <w:i/>
        </w:rPr>
        <w:t>чёт</w:t>
      </w:r>
      <w:r w:rsidR="00EC7A7C">
        <w:rPr>
          <w:b/>
          <w:i/>
        </w:rPr>
        <w:t>а</w:t>
      </w:r>
      <w:r w:rsidR="00440F81" w:rsidRPr="001D0CF9">
        <w:rPr>
          <w:b/>
          <w:i/>
        </w:rPr>
        <w:t xml:space="preserve"> об исполнении бюджета за </w:t>
      </w:r>
      <w:r w:rsidR="00440F81">
        <w:rPr>
          <w:b/>
          <w:i/>
        </w:rPr>
        <w:t>2014</w:t>
      </w:r>
      <w:r w:rsidR="00440F81" w:rsidRPr="001D0CF9">
        <w:rPr>
          <w:b/>
          <w:i/>
        </w:rPr>
        <w:t xml:space="preserve"> год</w:t>
      </w:r>
      <w:r w:rsidR="00440F81">
        <w:t>);</w:t>
      </w:r>
    </w:p>
    <w:p w:rsidR="007239E6" w:rsidRPr="0029403D" w:rsidRDefault="00EC7861" w:rsidP="002B3F4E">
      <w:pPr>
        <w:spacing w:before="60"/>
        <w:ind w:firstLine="567"/>
        <w:jc w:val="both"/>
      </w:pPr>
      <w:r>
        <w:t>2</w:t>
      </w:r>
      <w:r w:rsidR="007239E6" w:rsidRPr="0029403D">
        <w:t>) состав бюджетной отчётности должен соответствовать пункту 3 статьи 264.1 БК РФ</w:t>
      </w:r>
      <w:r w:rsidR="00440F81">
        <w:t xml:space="preserve"> (</w:t>
      </w:r>
      <w:r w:rsidR="00440F81">
        <w:rPr>
          <w:b/>
          <w:i/>
        </w:rPr>
        <w:t>на</w:t>
      </w:r>
      <w:r w:rsidR="00440F81" w:rsidRPr="001D0CF9">
        <w:rPr>
          <w:b/>
          <w:i/>
        </w:rPr>
        <w:t xml:space="preserve"> данн</w:t>
      </w:r>
      <w:r w:rsidR="00440F81">
        <w:rPr>
          <w:b/>
          <w:i/>
        </w:rPr>
        <w:t>ое нарушение</w:t>
      </w:r>
      <w:r w:rsidR="00440F81" w:rsidRPr="001D0CF9">
        <w:rPr>
          <w:b/>
          <w:i/>
        </w:rPr>
        <w:t xml:space="preserve"> было указано в экспертн</w:t>
      </w:r>
      <w:r w:rsidR="00440F81">
        <w:rPr>
          <w:b/>
          <w:i/>
        </w:rPr>
        <w:t>ых</w:t>
      </w:r>
      <w:r w:rsidR="00440F81" w:rsidRPr="001D0CF9">
        <w:rPr>
          <w:b/>
          <w:i/>
        </w:rPr>
        <w:t xml:space="preserve"> заключени</w:t>
      </w:r>
      <w:r w:rsidR="00440F81">
        <w:rPr>
          <w:b/>
          <w:i/>
        </w:rPr>
        <w:t>ях</w:t>
      </w:r>
      <w:r w:rsidR="00440F81" w:rsidRPr="001D0CF9">
        <w:rPr>
          <w:b/>
          <w:i/>
        </w:rPr>
        <w:t xml:space="preserve"> по результатам внешней проверки годов</w:t>
      </w:r>
      <w:r w:rsidR="00440F81">
        <w:rPr>
          <w:b/>
          <w:i/>
        </w:rPr>
        <w:t>ых</w:t>
      </w:r>
      <w:r w:rsidR="00440F81" w:rsidRPr="001D0CF9">
        <w:rPr>
          <w:b/>
          <w:i/>
        </w:rPr>
        <w:t xml:space="preserve"> отчёт</w:t>
      </w:r>
      <w:r w:rsidR="00440F81">
        <w:rPr>
          <w:b/>
          <w:i/>
        </w:rPr>
        <w:t>ов</w:t>
      </w:r>
      <w:r w:rsidR="00440F81" w:rsidRPr="001D0CF9">
        <w:rPr>
          <w:b/>
          <w:i/>
        </w:rPr>
        <w:t xml:space="preserve"> об исполнении бюджета за </w:t>
      </w:r>
      <w:r w:rsidR="00440F81">
        <w:rPr>
          <w:b/>
          <w:i/>
        </w:rPr>
        <w:t>2013-2014</w:t>
      </w:r>
      <w:r w:rsidR="00440F81" w:rsidRPr="001D0CF9">
        <w:rPr>
          <w:b/>
          <w:i/>
        </w:rPr>
        <w:t xml:space="preserve"> год</w:t>
      </w:r>
      <w:r w:rsidR="00440F81">
        <w:rPr>
          <w:b/>
          <w:i/>
        </w:rPr>
        <w:t>ы</w:t>
      </w:r>
      <w:r w:rsidR="00440F81">
        <w:t>);</w:t>
      </w:r>
    </w:p>
    <w:p w:rsidR="000C3692" w:rsidRPr="004172A3" w:rsidRDefault="000C3692" w:rsidP="000C3692">
      <w:pPr>
        <w:spacing w:before="60"/>
        <w:ind w:firstLine="567"/>
        <w:jc w:val="both"/>
        <w:rPr>
          <w:spacing w:val="-4"/>
        </w:rPr>
      </w:pPr>
      <w:r w:rsidRPr="004172A3">
        <w:rPr>
          <w:spacing w:val="-4"/>
        </w:rPr>
        <w:t xml:space="preserve">3) </w:t>
      </w:r>
      <w:r w:rsidRPr="004172A3">
        <w:rPr>
          <w:color w:val="000000"/>
          <w:spacing w:val="-4"/>
        </w:rPr>
        <w:t>формы бюджетной отчётности</w:t>
      </w:r>
      <w:r w:rsidRPr="004172A3">
        <w:rPr>
          <w:spacing w:val="-4"/>
        </w:rPr>
        <w:t xml:space="preserve"> (0503160, 0503164) должны содержать всю необходимую информацию</w:t>
      </w:r>
      <w:r w:rsidR="00EC7A7C" w:rsidRPr="004172A3">
        <w:rPr>
          <w:spacing w:val="-4"/>
        </w:rPr>
        <w:t xml:space="preserve"> </w:t>
      </w:r>
      <w:r w:rsidR="004172A3" w:rsidRPr="004172A3">
        <w:rPr>
          <w:spacing w:val="-4"/>
        </w:rPr>
        <w:t>(</w:t>
      </w:r>
      <w:r w:rsidR="004172A3" w:rsidRPr="004172A3">
        <w:rPr>
          <w:b/>
          <w:i/>
          <w:spacing w:val="-4"/>
        </w:rPr>
        <w:t>на данное нарушение было указано в экспертных заключениях по результ</w:t>
      </w:r>
      <w:r w:rsidR="004172A3" w:rsidRPr="004172A3">
        <w:rPr>
          <w:b/>
          <w:i/>
          <w:spacing w:val="-4"/>
        </w:rPr>
        <w:t>а</w:t>
      </w:r>
      <w:r w:rsidR="004172A3" w:rsidRPr="004172A3">
        <w:rPr>
          <w:b/>
          <w:i/>
          <w:spacing w:val="-4"/>
        </w:rPr>
        <w:t>там внешней проверки годовых отчётов об исполнении бюджета за 2013-2014 годы</w:t>
      </w:r>
      <w:r w:rsidR="00EC7A7C" w:rsidRPr="004172A3">
        <w:rPr>
          <w:spacing w:val="-4"/>
        </w:rPr>
        <w:t>)</w:t>
      </w:r>
      <w:r w:rsidRPr="004172A3">
        <w:rPr>
          <w:spacing w:val="-4"/>
        </w:rPr>
        <w:t>;</w:t>
      </w:r>
    </w:p>
    <w:p w:rsidR="00300CE4" w:rsidRPr="004172A3" w:rsidRDefault="000C3692" w:rsidP="002B3F4E">
      <w:pPr>
        <w:spacing w:before="60"/>
        <w:ind w:firstLine="567"/>
        <w:jc w:val="both"/>
      </w:pPr>
      <w:r w:rsidRPr="004172A3">
        <w:t>4</w:t>
      </w:r>
      <w:r w:rsidR="00300CE4" w:rsidRPr="004172A3">
        <w:t>) при осуществлении закупок у единственного поставщика строго следовать подпун</w:t>
      </w:r>
      <w:r w:rsidR="00300CE4" w:rsidRPr="004172A3">
        <w:t>к</w:t>
      </w:r>
      <w:r w:rsidR="00300CE4" w:rsidRPr="004172A3">
        <w:t>ту 4 пункта 1 статьи 93 Федерального закона от 05.04.</w:t>
      </w:r>
      <w:r w:rsidR="0099504D" w:rsidRPr="004172A3">
        <w:t>2014</w:t>
      </w:r>
      <w:r w:rsidR="00300CE4" w:rsidRPr="004172A3">
        <w:t xml:space="preserve"> № 44-ФЗ</w:t>
      </w:r>
      <w:r w:rsidR="00EC7A7C" w:rsidRPr="004172A3">
        <w:t xml:space="preserve"> (</w:t>
      </w:r>
      <w:r w:rsidR="00EC7A7C" w:rsidRPr="004172A3">
        <w:rPr>
          <w:b/>
          <w:i/>
        </w:rPr>
        <w:t>на данное нарушение было указано в экспертных заключениях по результатам внешней проверки годовых о</w:t>
      </w:r>
      <w:r w:rsidR="00EC7A7C" w:rsidRPr="004172A3">
        <w:rPr>
          <w:b/>
          <w:i/>
        </w:rPr>
        <w:t>т</w:t>
      </w:r>
      <w:r w:rsidR="00EC7A7C" w:rsidRPr="004172A3">
        <w:rPr>
          <w:b/>
          <w:i/>
        </w:rPr>
        <w:t>чётов об исполнении бюджета за 2013-2014 годы</w:t>
      </w:r>
      <w:r w:rsidR="00EC7A7C" w:rsidRPr="004172A3">
        <w:t>)</w:t>
      </w:r>
      <w:r w:rsidR="00300CE4" w:rsidRPr="004172A3">
        <w:t>;</w:t>
      </w:r>
    </w:p>
    <w:p w:rsidR="00BD6BE8" w:rsidRPr="004172A3" w:rsidRDefault="000C3692" w:rsidP="002B3F4E">
      <w:pPr>
        <w:spacing w:before="60"/>
        <w:ind w:firstLine="567"/>
        <w:jc w:val="both"/>
      </w:pPr>
      <w:r w:rsidRPr="004172A3">
        <w:t>5</w:t>
      </w:r>
      <w:r w:rsidR="00BD6BE8" w:rsidRPr="004172A3">
        <w:t>) при ведении реестра закупок строго следовать пункту 2 статьи 73 БК РФ</w:t>
      </w:r>
      <w:r w:rsidR="00EC7A7C" w:rsidRPr="004172A3">
        <w:t xml:space="preserve"> (</w:t>
      </w:r>
      <w:r w:rsidR="00EC7A7C" w:rsidRPr="004172A3">
        <w:rPr>
          <w:b/>
          <w:i/>
        </w:rPr>
        <w:t>на данное нарушение было указано в экспертных заключениях по результатам внешней проверки годовых отчётов об исполнении бюджета за 2013-2014 годы</w:t>
      </w:r>
      <w:r w:rsidR="00EC7A7C" w:rsidRPr="004172A3">
        <w:t>)</w:t>
      </w:r>
      <w:r w:rsidR="00BD6BE8" w:rsidRPr="004172A3">
        <w:t>;</w:t>
      </w:r>
    </w:p>
    <w:p w:rsidR="007239E6" w:rsidRPr="004172A3" w:rsidRDefault="000C3692" w:rsidP="002B3F4E">
      <w:pPr>
        <w:spacing w:before="60"/>
        <w:ind w:firstLine="567"/>
        <w:jc w:val="both"/>
      </w:pPr>
      <w:r w:rsidRPr="004172A3">
        <w:t>6</w:t>
      </w:r>
      <w:r w:rsidR="007239E6" w:rsidRPr="004172A3">
        <w:t>) наличие форм отчётности должно соответствовать Инструкции, утвержденной Пр</w:t>
      </w:r>
      <w:r w:rsidR="007239E6" w:rsidRPr="004172A3">
        <w:t>и</w:t>
      </w:r>
      <w:r w:rsidR="007239E6" w:rsidRPr="004172A3">
        <w:t>казом Минфина РФ № 191н от 28.12.</w:t>
      </w:r>
      <w:r w:rsidR="007B2041" w:rsidRPr="004172A3">
        <w:t>201</w:t>
      </w:r>
      <w:r w:rsidR="001B37EE" w:rsidRPr="004172A3">
        <w:t>0</w:t>
      </w:r>
      <w:r w:rsidR="00C659CB" w:rsidRPr="004172A3">
        <w:t xml:space="preserve"> (</w:t>
      </w:r>
      <w:r w:rsidR="00C659CB" w:rsidRPr="004172A3">
        <w:rPr>
          <w:b/>
          <w:i/>
        </w:rPr>
        <w:t>на данное нарушение было указано в экспер</w:t>
      </w:r>
      <w:r w:rsidR="00C659CB" w:rsidRPr="004172A3">
        <w:rPr>
          <w:b/>
          <w:i/>
        </w:rPr>
        <w:t>т</w:t>
      </w:r>
      <w:r w:rsidR="00C659CB" w:rsidRPr="004172A3">
        <w:rPr>
          <w:b/>
          <w:i/>
        </w:rPr>
        <w:t>ных заключениях по результатам внешней проверки годовых отчётов об исполнении бюджета за 2013-2014 годы</w:t>
      </w:r>
      <w:r w:rsidR="00C659CB" w:rsidRPr="004172A3">
        <w:t>)</w:t>
      </w:r>
      <w:r w:rsidR="007239E6" w:rsidRPr="004172A3">
        <w:t>;</w:t>
      </w:r>
    </w:p>
    <w:p w:rsidR="000C3692" w:rsidRPr="004172A3" w:rsidRDefault="000C3692" w:rsidP="000C3692">
      <w:pPr>
        <w:spacing w:before="60"/>
        <w:ind w:firstLine="567"/>
        <w:jc w:val="both"/>
        <w:rPr>
          <w:color w:val="000000"/>
        </w:rPr>
      </w:pPr>
      <w:r w:rsidRPr="004172A3">
        <w:t xml:space="preserve">7) уточнённые бюджетные назначения в годовом отчёте должны быть подтверждены решением о внесении изменений </w:t>
      </w:r>
      <w:r w:rsidRPr="004172A3">
        <w:rPr>
          <w:color w:val="000000"/>
        </w:rPr>
        <w:t>в</w:t>
      </w:r>
      <w:r w:rsidRPr="004172A3">
        <w:t xml:space="preserve"> решение о бюджете или должны быть </w:t>
      </w:r>
      <w:r w:rsidRPr="004172A3">
        <w:rPr>
          <w:szCs w:val="28"/>
        </w:rPr>
        <w:t xml:space="preserve">указаны </w:t>
      </w:r>
      <w:r w:rsidRPr="004172A3">
        <w:t>объекти</w:t>
      </w:r>
      <w:r w:rsidRPr="004172A3">
        <w:t>в</w:t>
      </w:r>
      <w:r w:rsidRPr="004172A3">
        <w:t>ные причины несоответствию показателей</w:t>
      </w:r>
      <w:r w:rsidRPr="004172A3">
        <w:rPr>
          <w:color w:val="000000"/>
        </w:rPr>
        <w:t>;</w:t>
      </w:r>
    </w:p>
    <w:p w:rsidR="00073629" w:rsidRPr="004172A3" w:rsidRDefault="000C3692" w:rsidP="00073629">
      <w:pPr>
        <w:spacing w:before="40"/>
        <w:ind w:firstLine="567"/>
        <w:jc w:val="both"/>
        <w:rPr>
          <w:szCs w:val="28"/>
        </w:rPr>
      </w:pPr>
      <w:r w:rsidRPr="004172A3">
        <w:t>8</w:t>
      </w:r>
      <w:r w:rsidR="00073629" w:rsidRPr="004172A3">
        <w:t>) при планировании и исполнении местного бюджета</w:t>
      </w:r>
      <w:r w:rsidR="00073629" w:rsidRPr="004172A3">
        <w:rPr>
          <w:szCs w:val="28"/>
        </w:rPr>
        <w:t xml:space="preserve"> лимиты на содержание главы поселения должны соответствовать нормативам, установленным постановлением админ</w:t>
      </w:r>
      <w:r w:rsidR="00073629" w:rsidRPr="004172A3">
        <w:rPr>
          <w:szCs w:val="28"/>
        </w:rPr>
        <w:t>и</w:t>
      </w:r>
      <w:r w:rsidR="00073629" w:rsidRPr="004172A3">
        <w:rPr>
          <w:szCs w:val="28"/>
        </w:rPr>
        <w:t>страции Новосибирской области от 28.12.2007 № 206-па;</w:t>
      </w:r>
    </w:p>
    <w:p w:rsidR="002B3F4E" w:rsidRPr="004172A3" w:rsidRDefault="000C3692" w:rsidP="002B3F4E">
      <w:pPr>
        <w:spacing w:before="60"/>
        <w:ind w:firstLine="567"/>
        <w:jc w:val="both"/>
        <w:rPr>
          <w:szCs w:val="28"/>
        </w:rPr>
      </w:pPr>
      <w:r w:rsidRPr="004172A3">
        <w:rPr>
          <w:szCs w:val="28"/>
        </w:rPr>
        <w:t>9</w:t>
      </w:r>
      <w:r w:rsidR="002B3F4E" w:rsidRPr="004172A3">
        <w:rPr>
          <w:szCs w:val="28"/>
        </w:rPr>
        <w:t>) в пояснительной записке должны присутствовать объяснения причин невыполнения плановых показателей по расходам.</w:t>
      </w:r>
    </w:p>
    <w:p w:rsidR="00313DF1" w:rsidRPr="0029403D" w:rsidRDefault="00313DF1" w:rsidP="002B3F4E">
      <w:pPr>
        <w:spacing w:before="180"/>
        <w:ind w:firstLine="567"/>
        <w:jc w:val="both"/>
      </w:pPr>
      <w:r w:rsidRPr="00A82072">
        <w:rPr>
          <w:b/>
          <w:i/>
        </w:rPr>
        <w:t xml:space="preserve">Совету депутатов </w:t>
      </w:r>
      <w:r>
        <w:rPr>
          <w:b/>
          <w:i/>
        </w:rPr>
        <w:t>Куба</w:t>
      </w:r>
      <w:r w:rsidRPr="00FB3B4C">
        <w:rPr>
          <w:b/>
          <w:i/>
        </w:rPr>
        <w:t>нского</w:t>
      </w:r>
      <w:r w:rsidRPr="00162BA1">
        <w:rPr>
          <w:b/>
        </w:rPr>
        <w:t xml:space="preserve"> </w:t>
      </w:r>
      <w:r w:rsidRPr="00F435AA">
        <w:rPr>
          <w:b/>
          <w:i/>
        </w:rPr>
        <w:t>сельсовета</w:t>
      </w:r>
      <w:r>
        <w:rPr>
          <w:b/>
          <w:i/>
        </w:rPr>
        <w:t>:</w:t>
      </w:r>
      <w:r w:rsidRPr="00C056D0">
        <w:t xml:space="preserve"> учесть изложенные в настоящем заключ</w:t>
      </w:r>
      <w:r w:rsidRPr="00C056D0">
        <w:t>е</w:t>
      </w:r>
      <w:r w:rsidRPr="00C056D0">
        <w:t xml:space="preserve">нии замечания при рассмотрении отчёта об исполнении бюджета </w:t>
      </w:r>
      <w:r>
        <w:t>Кубан</w:t>
      </w:r>
      <w:r w:rsidRPr="0029403D">
        <w:t xml:space="preserve">ского сельсовета Каргатского района Новосибирской области за </w:t>
      </w:r>
      <w:r w:rsidR="0099504D">
        <w:t>2015</w:t>
      </w:r>
      <w:r w:rsidRPr="0029403D">
        <w:t xml:space="preserve"> год.</w:t>
      </w:r>
    </w:p>
    <w:p w:rsidR="00313DF1" w:rsidRPr="0029403D" w:rsidRDefault="00313DF1" w:rsidP="002B3F4E">
      <w:pPr>
        <w:spacing w:before="180"/>
        <w:ind w:firstLine="567"/>
        <w:jc w:val="both"/>
      </w:pPr>
      <w:r w:rsidRPr="0029403D">
        <w:t xml:space="preserve">Экспертное заключение направить главе </w:t>
      </w:r>
      <w:r>
        <w:t>Кубан</w:t>
      </w:r>
      <w:r w:rsidRPr="0029403D">
        <w:t xml:space="preserve">ского сельсовета и председателю Совета депутатов </w:t>
      </w:r>
      <w:r>
        <w:t>Кубан</w:t>
      </w:r>
      <w:r w:rsidRPr="0029403D">
        <w:t>ского сельсовета.</w:t>
      </w:r>
    </w:p>
    <w:p w:rsidR="00313DF1" w:rsidRDefault="00313DF1" w:rsidP="00313DF1"/>
    <w:p w:rsidR="00313DF1" w:rsidRDefault="00313DF1" w:rsidP="00313DF1"/>
    <w:p w:rsidR="00313DF1" w:rsidRDefault="00313DF1" w:rsidP="00313DF1"/>
    <w:p w:rsidR="002B3F4E" w:rsidRDefault="002B3F4E" w:rsidP="00313DF1"/>
    <w:p w:rsidR="004172A3" w:rsidRDefault="004172A3" w:rsidP="00313DF1"/>
    <w:p w:rsidR="00DA3754" w:rsidRDefault="00DA3754" w:rsidP="00DA3754">
      <w:r>
        <w:t>Председатель</w:t>
      </w:r>
      <w:r w:rsidRPr="0029403D">
        <w:t xml:space="preserve"> </w:t>
      </w:r>
      <w:r>
        <w:t>Р</w:t>
      </w:r>
      <w:r w:rsidRPr="0029403D">
        <w:t>евизионной комиссии</w:t>
      </w:r>
      <w:r>
        <w:tab/>
      </w:r>
      <w:r>
        <w:tab/>
      </w:r>
      <w:r w:rsidRPr="0029403D">
        <w:tab/>
      </w:r>
      <w:r w:rsidRPr="0029403D">
        <w:tab/>
      </w:r>
      <w:r>
        <w:t>Т</w:t>
      </w:r>
      <w:r w:rsidRPr="0029403D">
        <w:t>.</w:t>
      </w:r>
      <w:r>
        <w:t>Г</w:t>
      </w:r>
      <w:r w:rsidRPr="0029403D">
        <w:t>.</w:t>
      </w:r>
      <w:r>
        <w:t xml:space="preserve"> Белоусова</w:t>
      </w:r>
      <w:r w:rsidRPr="0029403D">
        <w:tab/>
      </w:r>
    </w:p>
    <w:p w:rsidR="00313DF1" w:rsidRDefault="00313DF1" w:rsidP="00313DF1">
      <w:pPr>
        <w:jc w:val="both"/>
      </w:pPr>
    </w:p>
    <w:p w:rsidR="00313DF1" w:rsidRDefault="00313DF1" w:rsidP="00313DF1">
      <w:pPr>
        <w:jc w:val="both"/>
      </w:pPr>
    </w:p>
    <w:p w:rsidR="00313DF1" w:rsidRDefault="00313DF1" w:rsidP="00313DF1">
      <w:pPr>
        <w:jc w:val="both"/>
      </w:pPr>
    </w:p>
    <w:p w:rsidR="00A163C1" w:rsidRPr="0029403D" w:rsidRDefault="00313DF1" w:rsidP="00120A59">
      <w:pPr>
        <w:spacing w:before="120"/>
      </w:pPr>
      <w:r w:rsidRPr="0029403D">
        <w:t xml:space="preserve">Инспектор </w:t>
      </w:r>
      <w:r>
        <w:t>Р</w:t>
      </w:r>
      <w:r w:rsidRPr="0029403D">
        <w:t>евизионной комиссии</w:t>
      </w:r>
      <w:r>
        <w:tab/>
      </w:r>
      <w:r>
        <w:tab/>
      </w:r>
      <w:r>
        <w:tab/>
      </w:r>
      <w:r>
        <w:tab/>
      </w:r>
      <w:r>
        <w:tab/>
        <w:t>А.В. Довгучиц</w:t>
      </w:r>
    </w:p>
    <w:sectPr w:rsidR="00A163C1" w:rsidRPr="0029403D" w:rsidSect="009413C4">
      <w:footerReference w:type="even" r:id="rId10"/>
      <w:footerReference w:type="default" r:id="rId11"/>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5B" w:rsidRDefault="00387B5B">
      <w:r>
        <w:separator/>
      </w:r>
    </w:p>
  </w:endnote>
  <w:endnote w:type="continuationSeparator" w:id="0">
    <w:p w:rsidR="00387B5B" w:rsidRDefault="0038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BE" w:rsidRDefault="001541BE"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541BE" w:rsidRDefault="001541BE"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BE" w:rsidRPr="00E97930" w:rsidRDefault="001541BE" w:rsidP="00F85C4C">
    <w:pPr>
      <w:pStyle w:val="aa"/>
      <w:framePr w:wrap="around" w:vAnchor="text" w:hAnchor="margin" w:xAlign="right" w:y="1"/>
      <w:rPr>
        <w:rStyle w:val="ab"/>
        <w:sz w:val="16"/>
        <w:szCs w:val="16"/>
      </w:rPr>
    </w:pPr>
    <w:r w:rsidRPr="00E97930">
      <w:rPr>
        <w:rStyle w:val="ab"/>
        <w:sz w:val="16"/>
        <w:szCs w:val="16"/>
      </w:rPr>
      <w:fldChar w:fldCharType="begin"/>
    </w:r>
    <w:r w:rsidRPr="00E97930">
      <w:rPr>
        <w:rStyle w:val="ab"/>
        <w:sz w:val="16"/>
        <w:szCs w:val="16"/>
      </w:rPr>
      <w:instrText xml:space="preserve">PAGE  </w:instrText>
    </w:r>
    <w:r w:rsidRPr="00E97930">
      <w:rPr>
        <w:rStyle w:val="ab"/>
        <w:sz w:val="16"/>
        <w:szCs w:val="16"/>
      </w:rPr>
      <w:fldChar w:fldCharType="separate"/>
    </w:r>
    <w:r w:rsidR="00124651">
      <w:rPr>
        <w:rStyle w:val="ab"/>
        <w:noProof/>
        <w:sz w:val="16"/>
        <w:szCs w:val="16"/>
      </w:rPr>
      <w:t>7</w:t>
    </w:r>
    <w:r w:rsidRPr="00E97930">
      <w:rPr>
        <w:rStyle w:val="ab"/>
        <w:sz w:val="16"/>
        <w:szCs w:val="16"/>
      </w:rPr>
      <w:fldChar w:fldCharType="end"/>
    </w:r>
  </w:p>
  <w:p w:rsidR="001541BE" w:rsidRDefault="001541BE"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5B" w:rsidRDefault="00387B5B">
      <w:r>
        <w:separator/>
      </w:r>
    </w:p>
  </w:footnote>
  <w:footnote w:type="continuationSeparator" w:id="0">
    <w:p w:rsidR="00387B5B" w:rsidRDefault="0038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6055"/>
    <w:rsid w:val="00006951"/>
    <w:rsid w:val="00006CE6"/>
    <w:rsid w:val="00007D23"/>
    <w:rsid w:val="00014AB3"/>
    <w:rsid w:val="00015ED6"/>
    <w:rsid w:val="000213FE"/>
    <w:rsid w:val="000240FE"/>
    <w:rsid w:val="0002466F"/>
    <w:rsid w:val="000246B2"/>
    <w:rsid w:val="0002517C"/>
    <w:rsid w:val="000252AD"/>
    <w:rsid w:val="00025A3A"/>
    <w:rsid w:val="00026030"/>
    <w:rsid w:val="00026371"/>
    <w:rsid w:val="000266FD"/>
    <w:rsid w:val="000274D9"/>
    <w:rsid w:val="0002771C"/>
    <w:rsid w:val="000314E1"/>
    <w:rsid w:val="00031C71"/>
    <w:rsid w:val="0003219E"/>
    <w:rsid w:val="00032935"/>
    <w:rsid w:val="00034D0D"/>
    <w:rsid w:val="00034F90"/>
    <w:rsid w:val="00037D1B"/>
    <w:rsid w:val="000405FA"/>
    <w:rsid w:val="000406FD"/>
    <w:rsid w:val="00040BAE"/>
    <w:rsid w:val="00044D50"/>
    <w:rsid w:val="00045F67"/>
    <w:rsid w:val="00046830"/>
    <w:rsid w:val="00047E92"/>
    <w:rsid w:val="0005148C"/>
    <w:rsid w:val="00051747"/>
    <w:rsid w:val="00051E41"/>
    <w:rsid w:val="00052A03"/>
    <w:rsid w:val="00054CE9"/>
    <w:rsid w:val="00055C17"/>
    <w:rsid w:val="00056CC9"/>
    <w:rsid w:val="00057483"/>
    <w:rsid w:val="000601A7"/>
    <w:rsid w:val="00060D81"/>
    <w:rsid w:val="000634AC"/>
    <w:rsid w:val="00063EEF"/>
    <w:rsid w:val="00066440"/>
    <w:rsid w:val="00067C9B"/>
    <w:rsid w:val="00072674"/>
    <w:rsid w:val="0007269A"/>
    <w:rsid w:val="00073629"/>
    <w:rsid w:val="00073BF5"/>
    <w:rsid w:val="0007602D"/>
    <w:rsid w:val="00080C19"/>
    <w:rsid w:val="000824C0"/>
    <w:rsid w:val="00082EE1"/>
    <w:rsid w:val="0008445F"/>
    <w:rsid w:val="00093BA8"/>
    <w:rsid w:val="000951CD"/>
    <w:rsid w:val="00096B85"/>
    <w:rsid w:val="00096F6C"/>
    <w:rsid w:val="000A3AC5"/>
    <w:rsid w:val="000A45AD"/>
    <w:rsid w:val="000A4A24"/>
    <w:rsid w:val="000A6332"/>
    <w:rsid w:val="000A68BE"/>
    <w:rsid w:val="000A6B5E"/>
    <w:rsid w:val="000B35F1"/>
    <w:rsid w:val="000B406C"/>
    <w:rsid w:val="000B5AE1"/>
    <w:rsid w:val="000B77B0"/>
    <w:rsid w:val="000C0393"/>
    <w:rsid w:val="000C0B4C"/>
    <w:rsid w:val="000C20DD"/>
    <w:rsid w:val="000C2A2C"/>
    <w:rsid w:val="000C3692"/>
    <w:rsid w:val="000C4655"/>
    <w:rsid w:val="000C488A"/>
    <w:rsid w:val="000C4A3D"/>
    <w:rsid w:val="000D02F6"/>
    <w:rsid w:val="000D2817"/>
    <w:rsid w:val="000D40B9"/>
    <w:rsid w:val="000D43E3"/>
    <w:rsid w:val="000D4EB4"/>
    <w:rsid w:val="000D538E"/>
    <w:rsid w:val="000D60ED"/>
    <w:rsid w:val="000E3ECB"/>
    <w:rsid w:val="000E43EC"/>
    <w:rsid w:val="000E6EF2"/>
    <w:rsid w:val="000F3980"/>
    <w:rsid w:val="000F4E64"/>
    <w:rsid w:val="000F4FA3"/>
    <w:rsid w:val="000F5294"/>
    <w:rsid w:val="000F5459"/>
    <w:rsid w:val="000F5990"/>
    <w:rsid w:val="00100F55"/>
    <w:rsid w:val="00102AFD"/>
    <w:rsid w:val="00103F23"/>
    <w:rsid w:val="00104D65"/>
    <w:rsid w:val="00106838"/>
    <w:rsid w:val="00110488"/>
    <w:rsid w:val="00111B2F"/>
    <w:rsid w:val="001136A5"/>
    <w:rsid w:val="00115509"/>
    <w:rsid w:val="0012021B"/>
    <w:rsid w:val="00120A59"/>
    <w:rsid w:val="00121EF0"/>
    <w:rsid w:val="00124651"/>
    <w:rsid w:val="00127145"/>
    <w:rsid w:val="0012746B"/>
    <w:rsid w:val="001275EC"/>
    <w:rsid w:val="0013097F"/>
    <w:rsid w:val="001328F1"/>
    <w:rsid w:val="00134DC5"/>
    <w:rsid w:val="00135AAE"/>
    <w:rsid w:val="001405C2"/>
    <w:rsid w:val="00140A27"/>
    <w:rsid w:val="00145643"/>
    <w:rsid w:val="00145862"/>
    <w:rsid w:val="00147C9B"/>
    <w:rsid w:val="00147E0C"/>
    <w:rsid w:val="001521CE"/>
    <w:rsid w:val="00152E13"/>
    <w:rsid w:val="001541BE"/>
    <w:rsid w:val="00155162"/>
    <w:rsid w:val="001579B0"/>
    <w:rsid w:val="00157DDB"/>
    <w:rsid w:val="001608EB"/>
    <w:rsid w:val="00161BCC"/>
    <w:rsid w:val="00162034"/>
    <w:rsid w:val="00162BA1"/>
    <w:rsid w:val="00165378"/>
    <w:rsid w:val="00166A88"/>
    <w:rsid w:val="00167CFC"/>
    <w:rsid w:val="0017023D"/>
    <w:rsid w:val="00170379"/>
    <w:rsid w:val="00174C19"/>
    <w:rsid w:val="001757A5"/>
    <w:rsid w:val="00175B20"/>
    <w:rsid w:val="001779AB"/>
    <w:rsid w:val="00182E67"/>
    <w:rsid w:val="00190F22"/>
    <w:rsid w:val="00192DD7"/>
    <w:rsid w:val="001946F6"/>
    <w:rsid w:val="00196B6D"/>
    <w:rsid w:val="00196F7A"/>
    <w:rsid w:val="001977D0"/>
    <w:rsid w:val="001A2085"/>
    <w:rsid w:val="001A3493"/>
    <w:rsid w:val="001A43A8"/>
    <w:rsid w:val="001A4D63"/>
    <w:rsid w:val="001A53DE"/>
    <w:rsid w:val="001A6010"/>
    <w:rsid w:val="001A7B1A"/>
    <w:rsid w:val="001B37EE"/>
    <w:rsid w:val="001B5A4C"/>
    <w:rsid w:val="001B5D69"/>
    <w:rsid w:val="001B72AC"/>
    <w:rsid w:val="001C10E9"/>
    <w:rsid w:val="001C232C"/>
    <w:rsid w:val="001C28A0"/>
    <w:rsid w:val="001C534D"/>
    <w:rsid w:val="001C6BDE"/>
    <w:rsid w:val="001D0DFC"/>
    <w:rsid w:val="001D176A"/>
    <w:rsid w:val="001D1CE9"/>
    <w:rsid w:val="001D4FBB"/>
    <w:rsid w:val="001D611F"/>
    <w:rsid w:val="001D6AAD"/>
    <w:rsid w:val="001E0985"/>
    <w:rsid w:val="001E14F0"/>
    <w:rsid w:val="001E60F9"/>
    <w:rsid w:val="001F0349"/>
    <w:rsid w:val="001F1C1B"/>
    <w:rsid w:val="001F1F8B"/>
    <w:rsid w:val="001F4D35"/>
    <w:rsid w:val="001F604C"/>
    <w:rsid w:val="00200EDB"/>
    <w:rsid w:val="00205F33"/>
    <w:rsid w:val="00206364"/>
    <w:rsid w:val="002068D1"/>
    <w:rsid w:val="00211503"/>
    <w:rsid w:val="00212843"/>
    <w:rsid w:val="002164B0"/>
    <w:rsid w:val="00216D72"/>
    <w:rsid w:val="00221ECA"/>
    <w:rsid w:val="00224E0C"/>
    <w:rsid w:val="0023071E"/>
    <w:rsid w:val="002308B9"/>
    <w:rsid w:val="002337AD"/>
    <w:rsid w:val="002341D9"/>
    <w:rsid w:val="002370BD"/>
    <w:rsid w:val="00241DA8"/>
    <w:rsid w:val="00245995"/>
    <w:rsid w:val="00254658"/>
    <w:rsid w:val="00255B81"/>
    <w:rsid w:val="00256739"/>
    <w:rsid w:val="00256A4D"/>
    <w:rsid w:val="00260E62"/>
    <w:rsid w:val="002619DE"/>
    <w:rsid w:val="00262893"/>
    <w:rsid w:val="00262E8C"/>
    <w:rsid w:val="00263382"/>
    <w:rsid w:val="00263A98"/>
    <w:rsid w:val="00264072"/>
    <w:rsid w:val="00264139"/>
    <w:rsid w:val="00265057"/>
    <w:rsid w:val="002703FF"/>
    <w:rsid w:val="002706D9"/>
    <w:rsid w:val="002715B0"/>
    <w:rsid w:val="0027182F"/>
    <w:rsid w:val="00271FC9"/>
    <w:rsid w:val="00273E3C"/>
    <w:rsid w:val="002741C2"/>
    <w:rsid w:val="00276E2C"/>
    <w:rsid w:val="002772EA"/>
    <w:rsid w:val="002773B5"/>
    <w:rsid w:val="0027743A"/>
    <w:rsid w:val="0028377B"/>
    <w:rsid w:val="002838A4"/>
    <w:rsid w:val="00283C46"/>
    <w:rsid w:val="002858B8"/>
    <w:rsid w:val="00286402"/>
    <w:rsid w:val="00286808"/>
    <w:rsid w:val="00287802"/>
    <w:rsid w:val="00287D0D"/>
    <w:rsid w:val="0029403D"/>
    <w:rsid w:val="002940AF"/>
    <w:rsid w:val="00295555"/>
    <w:rsid w:val="00295ED7"/>
    <w:rsid w:val="00296D9A"/>
    <w:rsid w:val="00296F26"/>
    <w:rsid w:val="002A0B94"/>
    <w:rsid w:val="002A1C1F"/>
    <w:rsid w:val="002A2E49"/>
    <w:rsid w:val="002A4484"/>
    <w:rsid w:val="002A65D6"/>
    <w:rsid w:val="002A68BE"/>
    <w:rsid w:val="002B068C"/>
    <w:rsid w:val="002B10DF"/>
    <w:rsid w:val="002B3142"/>
    <w:rsid w:val="002B3F4E"/>
    <w:rsid w:val="002B5C7E"/>
    <w:rsid w:val="002B7028"/>
    <w:rsid w:val="002B7D60"/>
    <w:rsid w:val="002C05DA"/>
    <w:rsid w:val="002C365F"/>
    <w:rsid w:val="002C3B4A"/>
    <w:rsid w:val="002C488D"/>
    <w:rsid w:val="002C6D2C"/>
    <w:rsid w:val="002D0BBE"/>
    <w:rsid w:val="002D0D37"/>
    <w:rsid w:val="002D3343"/>
    <w:rsid w:val="002D3BD1"/>
    <w:rsid w:val="002D3D67"/>
    <w:rsid w:val="002D44B1"/>
    <w:rsid w:val="002D5803"/>
    <w:rsid w:val="002E0467"/>
    <w:rsid w:val="002E13A6"/>
    <w:rsid w:val="002E14C6"/>
    <w:rsid w:val="002E6C72"/>
    <w:rsid w:val="002F082B"/>
    <w:rsid w:val="002F4140"/>
    <w:rsid w:val="002F46B4"/>
    <w:rsid w:val="00300CE4"/>
    <w:rsid w:val="00301432"/>
    <w:rsid w:val="003030A1"/>
    <w:rsid w:val="0030423F"/>
    <w:rsid w:val="003043BF"/>
    <w:rsid w:val="00304B4D"/>
    <w:rsid w:val="00310C27"/>
    <w:rsid w:val="00312BE2"/>
    <w:rsid w:val="00313DF1"/>
    <w:rsid w:val="003140F7"/>
    <w:rsid w:val="00317712"/>
    <w:rsid w:val="00320FC3"/>
    <w:rsid w:val="00321F49"/>
    <w:rsid w:val="00324A14"/>
    <w:rsid w:val="003307FD"/>
    <w:rsid w:val="00332B3D"/>
    <w:rsid w:val="003358A7"/>
    <w:rsid w:val="00335FB7"/>
    <w:rsid w:val="003369FA"/>
    <w:rsid w:val="003373DE"/>
    <w:rsid w:val="00337DED"/>
    <w:rsid w:val="00340072"/>
    <w:rsid w:val="003407EE"/>
    <w:rsid w:val="003427C4"/>
    <w:rsid w:val="00350957"/>
    <w:rsid w:val="00350E14"/>
    <w:rsid w:val="00351FFF"/>
    <w:rsid w:val="003544B4"/>
    <w:rsid w:val="00356461"/>
    <w:rsid w:val="00356683"/>
    <w:rsid w:val="00356987"/>
    <w:rsid w:val="003575D9"/>
    <w:rsid w:val="00360FF5"/>
    <w:rsid w:val="003620DB"/>
    <w:rsid w:val="003635B7"/>
    <w:rsid w:val="003636C0"/>
    <w:rsid w:val="00363C14"/>
    <w:rsid w:val="00366B98"/>
    <w:rsid w:val="0037449B"/>
    <w:rsid w:val="003744B4"/>
    <w:rsid w:val="0037578B"/>
    <w:rsid w:val="00381832"/>
    <w:rsid w:val="00381CCE"/>
    <w:rsid w:val="003856E5"/>
    <w:rsid w:val="00387B5B"/>
    <w:rsid w:val="003920B0"/>
    <w:rsid w:val="00392B28"/>
    <w:rsid w:val="003941E8"/>
    <w:rsid w:val="003942FE"/>
    <w:rsid w:val="003A3891"/>
    <w:rsid w:val="003A3C90"/>
    <w:rsid w:val="003A3D99"/>
    <w:rsid w:val="003A5877"/>
    <w:rsid w:val="003A5BD0"/>
    <w:rsid w:val="003B3E81"/>
    <w:rsid w:val="003B5A53"/>
    <w:rsid w:val="003B67F0"/>
    <w:rsid w:val="003C2211"/>
    <w:rsid w:val="003C2BDF"/>
    <w:rsid w:val="003C3735"/>
    <w:rsid w:val="003C5D5C"/>
    <w:rsid w:val="003D05C9"/>
    <w:rsid w:val="003D0672"/>
    <w:rsid w:val="003D1BA0"/>
    <w:rsid w:val="003D272D"/>
    <w:rsid w:val="003D2EF7"/>
    <w:rsid w:val="003D3C03"/>
    <w:rsid w:val="003D4373"/>
    <w:rsid w:val="003D4579"/>
    <w:rsid w:val="003D6767"/>
    <w:rsid w:val="003D7C34"/>
    <w:rsid w:val="003F052C"/>
    <w:rsid w:val="003F0DEE"/>
    <w:rsid w:val="003F1666"/>
    <w:rsid w:val="003F7596"/>
    <w:rsid w:val="00400A64"/>
    <w:rsid w:val="004017CC"/>
    <w:rsid w:val="00402546"/>
    <w:rsid w:val="00403E8C"/>
    <w:rsid w:val="00406440"/>
    <w:rsid w:val="00407711"/>
    <w:rsid w:val="00414D50"/>
    <w:rsid w:val="00415FD7"/>
    <w:rsid w:val="004172A3"/>
    <w:rsid w:val="0042046B"/>
    <w:rsid w:val="0042162E"/>
    <w:rsid w:val="00422479"/>
    <w:rsid w:val="00422724"/>
    <w:rsid w:val="0042298A"/>
    <w:rsid w:val="004238A2"/>
    <w:rsid w:val="00423DB1"/>
    <w:rsid w:val="00424AD2"/>
    <w:rsid w:val="00427106"/>
    <w:rsid w:val="004272D0"/>
    <w:rsid w:val="0043088A"/>
    <w:rsid w:val="00430BDD"/>
    <w:rsid w:val="00431FC9"/>
    <w:rsid w:val="00432266"/>
    <w:rsid w:val="00432FB3"/>
    <w:rsid w:val="00434766"/>
    <w:rsid w:val="004355E3"/>
    <w:rsid w:val="00440C7A"/>
    <w:rsid w:val="00440F81"/>
    <w:rsid w:val="00444A78"/>
    <w:rsid w:val="00445209"/>
    <w:rsid w:val="00445238"/>
    <w:rsid w:val="00447E5B"/>
    <w:rsid w:val="004537C6"/>
    <w:rsid w:val="00453B4C"/>
    <w:rsid w:val="004543FF"/>
    <w:rsid w:val="00455B75"/>
    <w:rsid w:val="00456A84"/>
    <w:rsid w:val="00457C38"/>
    <w:rsid w:val="004603A0"/>
    <w:rsid w:val="00460744"/>
    <w:rsid w:val="004617FA"/>
    <w:rsid w:val="004623CD"/>
    <w:rsid w:val="00464E5A"/>
    <w:rsid w:val="0046511F"/>
    <w:rsid w:val="00466A12"/>
    <w:rsid w:val="00467567"/>
    <w:rsid w:val="00470418"/>
    <w:rsid w:val="00470FE9"/>
    <w:rsid w:val="00471849"/>
    <w:rsid w:val="00473D01"/>
    <w:rsid w:val="00473E3B"/>
    <w:rsid w:val="004812A7"/>
    <w:rsid w:val="00481BDF"/>
    <w:rsid w:val="004821B4"/>
    <w:rsid w:val="004821DF"/>
    <w:rsid w:val="004836ED"/>
    <w:rsid w:val="00486F58"/>
    <w:rsid w:val="0048743C"/>
    <w:rsid w:val="00491F12"/>
    <w:rsid w:val="00494098"/>
    <w:rsid w:val="004942E6"/>
    <w:rsid w:val="004A098B"/>
    <w:rsid w:val="004A13B7"/>
    <w:rsid w:val="004A2148"/>
    <w:rsid w:val="004A4FD0"/>
    <w:rsid w:val="004A557F"/>
    <w:rsid w:val="004A5F95"/>
    <w:rsid w:val="004A77F1"/>
    <w:rsid w:val="004B1C84"/>
    <w:rsid w:val="004B22EF"/>
    <w:rsid w:val="004B282C"/>
    <w:rsid w:val="004B5095"/>
    <w:rsid w:val="004B570F"/>
    <w:rsid w:val="004B5BFC"/>
    <w:rsid w:val="004B6B0C"/>
    <w:rsid w:val="004B79E3"/>
    <w:rsid w:val="004C0220"/>
    <w:rsid w:val="004C2F98"/>
    <w:rsid w:val="004C38CC"/>
    <w:rsid w:val="004C41C8"/>
    <w:rsid w:val="004C5150"/>
    <w:rsid w:val="004C6031"/>
    <w:rsid w:val="004D0D50"/>
    <w:rsid w:val="004D1828"/>
    <w:rsid w:val="004D1B14"/>
    <w:rsid w:val="004D1D3C"/>
    <w:rsid w:val="004D1D40"/>
    <w:rsid w:val="004D1F2F"/>
    <w:rsid w:val="004D23A7"/>
    <w:rsid w:val="004D2A1F"/>
    <w:rsid w:val="004D35A4"/>
    <w:rsid w:val="004D3845"/>
    <w:rsid w:val="004D50C8"/>
    <w:rsid w:val="004D612B"/>
    <w:rsid w:val="004E3D6E"/>
    <w:rsid w:val="004E3F18"/>
    <w:rsid w:val="004E49FA"/>
    <w:rsid w:val="004E4E7D"/>
    <w:rsid w:val="004E5F3D"/>
    <w:rsid w:val="004E64C9"/>
    <w:rsid w:val="004E7571"/>
    <w:rsid w:val="004E793D"/>
    <w:rsid w:val="004F2345"/>
    <w:rsid w:val="004F2E28"/>
    <w:rsid w:val="00500DF0"/>
    <w:rsid w:val="00504D30"/>
    <w:rsid w:val="00506301"/>
    <w:rsid w:val="005168EA"/>
    <w:rsid w:val="00521D3E"/>
    <w:rsid w:val="005243CA"/>
    <w:rsid w:val="005248D4"/>
    <w:rsid w:val="005249F5"/>
    <w:rsid w:val="00525DF3"/>
    <w:rsid w:val="00526FBD"/>
    <w:rsid w:val="00527EEB"/>
    <w:rsid w:val="00530BA1"/>
    <w:rsid w:val="00531606"/>
    <w:rsid w:val="00532ED0"/>
    <w:rsid w:val="0053418D"/>
    <w:rsid w:val="005349FF"/>
    <w:rsid w:val="00534C44"/>
    <w:rsid w:val="005360E3"/>
    <w:rsid w:val="00536FE3"/>
    <w:rsid w:val="00537C4C"/>
    <w:rsid w:val="005419A6"/>
    <w:rsid w:val="00542603"/>
    <w:rsid w:val="005447EB"/>
    <w:rsid w:val="00550CDC"/>
    <w:rsid w:val="00551BA2"/>
    <w:rsid w:val="00551F5B"/>
    <w:rsid w:val="00552AD8"/>
    <w:rsid w:val="00552FA2"/>
    <w:rsid w:val="00553659"/>
    <w:rsid w:val="00554239"/>
    <w:rsid w:val="00557770"/>
    <w:rsid w:val="0056008C"/>
    <w:rsid w:val="00565482"/>
    <w:rsid w:val="00565CBC"/>
    <w:rsid w:val="00570766"/>
    <w:rsid w:val="00574260"/>
    <w:rsid w:val="00574F10"/>
    <w:rsid w:val="00575C45"/>
    <w:rsid w:val="00577917"/>
    <w:rsid w:val="00583BF6"/>
    <w:rsid w:val="005845A5"/>
    <w:rsid w:val="00584D61"/>
    <w:rsid w:val="00587794"/>
    <w:rsid w:val="00590F7A"/>
    <w:rsid w:val="005918A5"/>
    <w:rsid w:val="0059475D"/>
    <w:rsid w:val="005951F9"/>
    <w:rsid w:val="00596CD7"/>
    <w:rsid w:val="005A02D1"/>
    <w:rsid w:val="005A05F5"/>
    <w:rsid w:val="005A1015"/>
    <w:rsid w:val="005A1A14"/>
    <w:rsid w:val="005A68D4"/>
    <w:rsid w:val="005A7F6C"/>
    <w:rsid w:val="005C0938"/>
    <w:rsid w:val="005C1C6D"/>
    <w:rsid w:val="005C4061"/>
    <w:rsid w:val="005C52B7"/>
    <w:rsid w:val="005C52F0"/>
    <w:rsid w:val="005C59E2"/>
    <w:rsid w:val="005C5F85"/>
    <w:rsid w:val="005C769C"/>
    <w:rsid w:val="005D2DF4"/>
    <w:rsid w:val="005D3B0A"/>
    <w:rsid w:val="005D4F45"/>
    <w:rsid w:val="005E15EC"/>
    <w:rsid w:val="005E2C38"/>
    <w:rsid w:val="005E30A8"/>
    <w:rsid w:val="005E6A79"/>
    <w:rsid w:val="005F1651"/>
    <w:rsid w:val="005F330B"/>
    <w:rsid w:val="005F3943"/>
    <w:rsid w:val="005F5499"/>
    <w:rsid w:val="005F617A"/>
    <w:rsid w:val="005F636E"/>
    <w:rsid w:val="005F683C"/>
    <w:rsid w:val="005F6890"/>
    <w:rsid w:val="005F77F5"/>
    <w:rsid w:val="00600821"/>
    <w:rsid w:val="00602148"/>
    <w:rsid w:val="00602251"/>
    <w:rsid w:val="0060226F"/>
    <w:rsid w:val="00604E97"/>
    <w:rsid w:val="00605896"/>
    <w:rsid w:val="00605A32"/>
    <w:rsid w:val="00607E5A"/>
    <w:rsid w:val="00610F12"/>
    <w:rsid w:val="006124B5"/>
    <w:rsid w:val="006128B0"/>
    <w:rsid w:val="00614347"/>
    <w:rsid w:val="006148AA"/>
    <w:rsid w:val="0062131D"/>
    <w:rsid w:val="00623539"/>
    <w:rsid w:val="00623858"/>
    <w:rsid w:val="0062501F"/>
    <w:rsid w:val="006252CB"/>
    <w:rsid w:val="00627543"/>
    <w:rsid w:val="00634FB9"/>
    <w:rsid w:val="006366AE"/>
    <w:rsid w:val="0063708A"/>
    <w:rsid w:val="00641092"/>
    <w:rsid w:val="00641E34"/>
    <w:rsid w:val="0064327A"/>
    <w:rsid w:val="00643E3E"/>
    <w:rsid w:val="00644AFE"/>
    <w:rsid w:val="00645539"/>
    <w:rsid w:val="006462FB"/>
    <w:rsid w:val="00646FDB"/>
    <w:rsid w:val="006502F2"/>
    <w:rsid w:val="00650AFA"/>
    <w:rsid w:val="006518DC"/>
    <w:rsid w:val="00651FD5"/>
    <w:rsid w:val="006546A7"/>
    <w:rsid w:val="00656EFD"/>
    <w:rsid w:val="00660117"/>
    <w:rsid w:val="00660709"/>
    <w:rsid w:val="006628FF"/>
    <w:rsid w:val="006630B9"/>
    <w:rsid w:val="00665379"/>
    <w:rsid w:val="00667AE3"/>
    <w:rsid w:val="00671D3E"/>
    <w:rsid w:val="0067250F"/>
    <w:rsid w:val="00675ED5"/>
    <w:rsid w:val="006813AA"/>
    <w:rsid w:val="0068375C"/>
    <w:rsid w:val="00686437"/>
    <w:rsid w:val="006871EC"/>
    <w:rsid w:val="00690B39"/>
    <w:rsid w:val="00691233"/>
    <w:rsid w:val="00691895"/>
    <w:rsid w:val="006953EC"/>
    <w:rsid w:val="00695ACA"/>
    <w:rsid w:val="00695D6E"/>
    <w:rsid w:val="00696525"/>
    <w:rsid w:val="006A165F"/>
    <w:rsid w:val="006A3008"/>
    <w:rsid w:val="006A3F50"/>
    <w:rsid w:val="006A699B"/>
    <w:rsid w:val="006B1BFE"/>
    <w:rsid w:val="006B4C21"/>
    <w:rsid w:val="006B62A0"/>
    <w:rsid w:val="006C1D41"/>
    <w:rsid w:val="006C44B5"/>
    <w:rsid w:val="006C4A89"/>
    <w:rsid w:val="006C58FA"/>
    <w:rsid w:val="006C5DE0"/>
    <w:rsid w:val="006D3168"/>
    <w:rsid w:val="006D3857"/>
    <w:rsid w:val="006D3BA6"/>
    <w:rsid w:val="006D5350"/>
    <w:rsid w:val="006D68F8"/>
    <w:rsid w:val="006D76E9"/>
    <w:rsid w:val="006E08FF"/>
    <w:rsid w:val="006E10DA"/>
    <w:rsid w:val="006E33EB"/>
    <w:rsid w:val="006E515C"/>
    <w:rsid w:val="006E51C8"/>
    <w:rsid w:val="006E5530"/>
    <w:rsid w:val="006E55E6"/>
    <w:rsid w:val="006E7516"/>
    <w:rsid w:val="006F1E09"/>
    <w:rsid w:val="006F5572"/>
    <w:rsid w:val="006F5A40"/>
    <w:rsid w:val="00701A65"/>
    <w:rsid w:val="007026D6"/>
    <w:rsid w:val="00702B24"/>
    <w:rsid w:val="00702E9C"/>
    <w:rsid w:val="00707B42"/>
    <w:rsid w:val="0071093B"/>
    <w:rsid w:val="00712E21"/>
    <w:rsid w:val="00713767"/>
    <w:rsid w:val="00713F54"/>
    <w:rsid w:val="00714DD7"/>
    <w:rsid w:val="00715C39"/>
    <w:rsid w:val="00716AC5"/>
    <w:rsid w:val="00716D90"/>
    <w:rsid w:val="00721AF6"/>
    <w:rsid w:val="007239E6"/>
    <w:rsid w:val="00724FE4"/>
    <w:rsid w:val="00726D20"/>
    <w:rsid w:val="007305AF"/>
    <w:rsid w:val="00733F30"/>
    <w:rsid w:val="007357AC"/>
    <w:rsid w:val="007357E8"/>
    <w:rsid w:val="00736CFB"/>
    <w:rsid w:val="00737BE9"/>
    <w:rsid w:val="00741655"/>
    <w:rsid w:val="007420F7"/>
    <w:rsid w:val="007458BE"/>
    <w:rsid w:val="00750460"/>
    <w:rsid w:val="00753B3E"/>
    <w:rsid w:val="00754C13"/>
    <w:rsid w:val="00757126"/>
    <w:rsid w:val="00757A11"/>
    <w:rsid w:val="0076049D"/>
    <w:rsid w:val="00760FA9"/>
    <w:rsid w:val="00762686"/>
    <w:rsid w:val="00765A4B"/>
    <w:rsid w:val="00765A98"/>
    <w:rsid w:val="00767833"/>
    <w:rsid w:val="00773E9D"/>
    <w:rsid w:val="00774845"/>
    <w:rsid w:val="00774FFB"/>
    <w:rsid w:val="007760D8"/>
    <w:rsid w:val="007764B7"/>
    <w:rsid w:val="00776ABF"/>
    <w:rsid w:val="007820F6"/>
    <w:rsid w:val="0078234D"/>
    <w:rsid w:val="00782AEC"/>
    <w:rsid w:val="00785922"/>
    <w:rsid w:val="00787BD6"/>
    <w:rsid w:val="007909D1"/>
    <w:rsid w:val="00793BB0"/>
    <w:rsid w:val="00793ECA"/>
    <w:rsid w:val="00794CA0"/>
    <w:rsid w:val="007965E5"/>
    <w:rsid w:val="00796670"/>
    <w:rsid w:val="007A197D"/>
    <w:rsid w:val="007A1C91"/>
    <w:rsid w:val="007A1E8E"/>
    <w:rsid w:val="007A2961"/>
    <w:rsid w:val="007A5AFA"/>
    <w:rsid w:val="007B2041"/>
    <w:rsid w:val="007B42E3"/>
    <w:rsid w:val="007B4426"/>
    <w:rsid w:val="007B5EB3"/>
    <w:rsid w:val="007B79FB"/>
    <w:rsid w:val="007B7DFF"/>
    <w:rsid w:val="007C14E6"/>
    <w:rsid w:val="007C6B05"/>
    <w:rsid w:val="007C7802"/>
    <w:rsid w:val="007D19D5"/>
    <w:rsid w:val="007D1A3D"/>
    <w:rsid w:val="007D1F10"/>
    <w:rsid w:val="007D75B5"/>
    <w:rsid w:val="007E12E3"/>
    <w:rsid w:val="007E1519"/>
    <w:rsid w:val="007E73F3"/>
    <w:rsid w:val="007E791C"/>
    <w:rsid w:val="007F29DC"/>
    <w:rsid w:val="007F2A1E"/>
    <w:rsid w:val="007F3D31"/>
    <w:rsid w:val="007F49C3"/>
    <w:rsid w:val="007F68F4"/>
    <w:rsid w:val="00801380"/>
    <w:rsid w:val="0080250D"/>
    <w:rsid w:val="00804797"/>
    <w:rsid w:val="00805716"/>
    <w:rsid w:val="00812832"/>
    <w:rsid w:val="00813DD5"/>
    <w:rsid w:val="008146BA"/>
    <w:rsid w:val="00815413"/>
    <w:rsid w:val="008158EE"/>
    <w:rsid w:val="00816243"/>
    <w:rsid w:val="00816F79"/>
    <w:rsid w:val="008236EC"/>
    <w:rsid w:val="00830D5F"/>
    <w:rsid w:val="00832285"/>
    <w:rsid w:val="00832530"/>
    <w:rsid w:val="0083334D"/>
    <w:rsid w:val="00836528"/>
    <w:rsid w:val="00841DFF"/>
    <w:rsid w:val="00844AF4"/>
    <w:rsid w:val="0084747B"/>
    <w:rsid w:val="0085149C"/>
    <w:rsid w:val="00853AAE"/>
    <w:rsid w:val="008608CA"/>
    <w:rsid w:val="008633BF"/>
    <w:rsid w:val="00864494"/>
    <w:rsid w:val="008656C8"/>
    <w:rsid w:val="00866CFE"/>
    <w:rsid w:val="00870234"/>
    <w:rsid w:val="0087125D"/>
    <w:rsid w:val="008723B0"/>
    <w:rsid w:val="00872ABD"/>
    <w:rsid w:val="0087462A"/>
    <w:rsid w:val="00874BDA"/>
    <w:rsid w:val="00877B5F"/>
    <w:rsid w:val="00882C08"/>
    <w:rsid w:val="0088324B"/>
    <w:rsid w:val="00885D6B"/>
    <w:rsid w:val="008864C8"/>
    <w:rsid w:val="00890527"/>
    <w:rsid w:val="00893936"/>
    <w:rsid w:val="00894895"/>
    <w:rsid w:val="00895174"/>
    <w:rsid w:val="00895CE6"/>
    <w:rsid w:val="008A03A4"/>
    <w:rsid w:val="008A3D94"/>
    <w:rsid w:val="008A42AB"/>
    <w:rsid w:val="008B0B9C"/>
    <w:rsid w:val="008B0FA6"/>
    <w:rsid w:val="008B2163"/>
    <w:rsid w:val="008B5234"/>
    <w:rsid w:val="008C1347"/>
    <w:rsid w:val="008C1D3B"/>
    <w:rsid w:val="008C285D"/>
    <w:rsid w:val="008C4B97"/>
    <w:rsid w:val="008C68A7"/>
    <w:rsid w:val="008D09B0"/>
    <w:rsid w:val="008D4119"/>
    <w:rsid w:val="008D4FEE"/>
    <w:rsid w:val="008D6159"/>
    <w:rsid w:val="008D6C6F"/>
    <w:rsid w:val="008E04C3"/>
    <w:rsid w:val="008E391A"/>
    <w:rsid w:val="008E4748"/>
    <w:rsid w:val="008E4793"/>
    <w:rsid w:val="008E63F1"/>
    <w:rsid w:val="008F0255"/>
    <w:rsid w:val="008F455D"/>
    <w:rsid w:val="008F7068"/>
    <w:rsid w:val="00901537"/>
    <w:rsid w:val="00903FAD"/>
    <w:rsid w:val="00911D8B"/>
    <w:rsid w:val="0091341C"/>
    <w:rsid w:val="00917336"/>
    <w:rsid w:val="00923DA5"/>
    <w:rsid w:val="009241FE"/>
    <w:rsid w:val="00925C41"/>
    <w:rsid w:val="0092613C"/>
    <w:rsid w:val="009262CF"/>
    <w:rsid w:val="00926DC2"/>
    <w:rsid w:val="00930724"/>
    <w:rsid w:val="00932F59"/>
    <w:rsid w:val="0093480A"/>
    <w:rsid w:val="00935680"/>
    <w:rsid w:val="00936367"/>
    <w:rsid w:val="009413C4"/>
    <w:rsid w:val="009434A6"/>
    <w:rsid w:val="00943AD6"/>
    <w:rsid w:val="00944D6C"/>
    <w:rsid w:val="009465AA"/>
    <w:rsid w:val="009528AD"/>
    <w:rsid w:val="0095352B"/>
    <w:rsid w:val="009536C1"/>
    <w:rsid w:val="0095404A"/>
    <w:rsid w:val="00961A67"/>
    <w:rsid w:val="00963DDA"/>
    <w:rsid w:val="009648CB"/>
    <w:rsid w:val="00965523"/>
    <w:rsid w:val="009705BA"/>
    <w:rsid w:val="00971064"/>
    <w:rsid w:val="00971527"/>
    <w:rsid w:val="0097248C"/>
    <w:rsid w:val="00972D8B"/>
    <w:rsid w:val="0097669F"/>
    <w:rsid w:val="00976773"/>
    <w:rsid w:val="00981218"/>
    <w:rsid w:val="0098192E"/>
    <w:rsid w:val="00981EA9"/>
    <w:rsid w:val="0098240B"/>
    <w:rsid w:val="009824E2"/>
    <w:rsid w:val="0098418E"/>
    <w:rsid w:val="00984F08"/>
    <w:rsid w:val="009871D0"/>
    <w:rsid w:val="00990F91"/>
    <w:rsid w:val="00992906"/>
    <w:rsid w:val="00993C69"/>
    <w:rsid w:val="0099504D"/>
    <w:rsid w:val="00995B0E"/>
    <w:rsid w:val="00995EDF"/>
    <w:rsid w:val="009979B1"/>
    <w:rsid w:val="009A0A6D"/>
    <w:rsid w:val="009A285D"/>
    <w:rsid w:val="009A77F4"/>
    <w:rsid w:val="009A7F5C"/>
    <w:rsid w:val="009B4697"/>
    <w:rsid w:val="009B7994"/>
    <w:rsid w:val="009C03FE"/>
    <w:rsid w:val="009C0599"/>
    <w:rsid w:val="009C26E0"/>
    <w:rsid w:val="009C4093"/>
    <w:rsid w:val="009C5C3A"/>
    <w:rsid w:val="009D0022"/>
    <w:rsid w:val="009D01E1"/>
    <w:rsid w:val="009D0242"/>
    <w:rsid w:val="009D4A15"/>
    <w:rsid w:val="009D4B76"/>
    <w:rsid w:val="009D528D"/>
    <w:rsid w:val="009D75BE"/>
    <w:rsid w:val="009E07C8"/>
    <w:rsid w:val="009E2890"/>
    <w:rsid w:val="009E2D86"/>
    <w:rsid w:val="009E2F3D"/>
    <w:rsid w:val="009E2F53"/>
    <w:rsid w:val="009E4062"/>
    <w:rsid w:val="009E4081"/>
    <w:rsid w:val="009E5372"/>
    <w:rsid w:val="009E57F5"/>
    <w:rsid w:val="009E7783"/>
    <w:rsid w:val="009E7CBF"/>
    <w:rsid w:val="009F0D34"/>
    <w:rsid w:val="009F2B91"/>
    <w:rsid w:val="009F4283"/>
    <w:rsid w:val="009F6A40"/>
    <w:rsid w:val="009F7257"/>
    <w:rsid w:val="009F755D"/>
    <w:rsid w:val="00A0249D"/>
    <w:rsid w:val="00A05B9F"/>
    <w:rsid w:val="00A06375"/>
    <w:rsid w:val="00A07DE8"/>
    <w:rsid w:val="00A14C3F"/>
    <w:rsid w:val="00A15C3D"/>
    <w:rsid w:val="00A163C1"/>
    <w:rsid w:val="00A17EE6"/>
    <w:rsid w:val="00A24856"/>
    <w:rsid w:val="00A257BA"/>
    <w:rsid w:val="00A26C37"/>
    <w:rsid w:val="00A277A1"/>
    <w:rsid w:val="00A31D49"/>
    <w:rsid w:val="00A32848"/>
    <w:rsid w:val="00A3435B"/>
    <w:rsid w:val="00A34753"/>
    <w:rsid w:val="00A3585F"/>
    <w:rsid w:val="00A41E89"/>
    <w:rsid w:val="00A44A4C"/>
    <w:rsid w:val="00A457DF"/>
    <w:rsid w:val="00A45ED0"/>
    <w:rsid w:val="00A46321"/>
    <w:rsid w:val="00A46E1E"/>
    <w:rsid w:val="00A51AA0"/>
    <w:rsid w:val="00A52A57"/>
    <w:rsid w:val="00A52C49"/>
    <w:rsid w:val="00A534A7"/>
    <w:rsid w:val="00A5369C"/>
    <w:rsid w:val="00A55E9C"/>
    <w:rsid w:val="00A56F1C"/>
    <w:rsid w:val="00A57E7A"/>
    <w:rsid w:val="00A60E94"/>
    <w:rsid w:val="00A61A07"/>
    <w:rsid w:val="00A64B99"/>
    <w:rsid w:val="00A6712D"/>
    <w:rsid w:val="00A70A0A"/>
    <w:rsid w:val="00A70C4E"/>
    <w:rsid w:val="00A73D4A"/>
    <w:rsid w:val="00A747F7"/>
    <w:rsid w:val="00A75F2B"/>
    <w:rsid w:val="00A7653B"/>
    <w:rsid w:val="00A81D03"/>
    <w:rsid w:val="00A81EBD"/>
    <w:rsid w:val="00A85097"/>
    <w:rsid w:val="00A87C80"/>
    <w:rsid w:val="00A910DC"/>
    <w:rsid w:val="00A915EB"/>
    <w:rsid w:val="00A91B93"/>
    <w:rsid w:val="00A92F75"/>
    <w:rsid w:val="00A93135"/>
    <w:rsid w:val="00A93A25"/>
    <w:rsid w:val="00A94EB3"/>
    <w:rsid w:val="00A95C7A"/>
    <w:rsid w:val="00A97101"/>
    <w:rsid w:val="00A971CF"/>
    <w:rsid w:val="00A97D86"/>
    <w:rsid w:val="00AA4629"/>
    <w:rsid w:val="00AA75C2"/>
    <w:rsid w:val="00AB167E"/>
    <w:rsid w:val="00AB269E"/>
    <w:rsid w:val="00AB3172"/>
    <w:rsid w:val="00AB68D4"/>
    <w:rsid w:val="00AB695F"/>
    <w:rsid w:val="00AB6B78"/>
    <w:rsid w:val="00AC00C1"/>
    <w:rsid w:val="00AC0FA5"/>
    <w:rsid w:val="00AC2F86"/>
    <w:rsid w:val="00AC537B"/>
    <w:rsid w:val="00AC6D71"/>
    <w:rsid w:val="00AD0DA1"/>
    <w:rsid w:val="00AD1302"/>
    <w:rsid w:val="00AD20D3"/>
    <w:rsid w:val="00AD2F02"/>
    <w:rsid w:val="00AD4941"/>
    <w:rsid w:val="00AD6F5E"/>
    <w:rsid w:val="00AE11DB"/>
    <w:rsid w:val="00AE245D"/>
    <w:rsid w:val="00AF0473"/>
    <w:rsid w:val="00AF05F7"/>
    <w:rsid w:val="00AF1983"/>
    <w:rsid w:val="00AF25FE"/>
    <w:rsid w:val="00AF3E71"/>
    <w:rsid w:val="00AF4A3B"/>
    <w:rsid w:val="00AF6558"/>
    <w:rsid w:val="00B00081"/>
    <w:rsid w:val="00B00598"/>
    <w:rsid w:val="00B0167B"/>
    <w:rsid w:val="00B017C7"/>
    <w:rsid w:val="00B03123"/>
    <w:rsid w:val="00B03460"/>
    <w:rsid w:val="00B04DBC"/>
    <w:rsid w:val="00B05526"/>
    <w:rsid w:val="00B06553"/>
    <w:rsid w:val="00B06AD0"/>
    <w:rsid w:val="00B07572"/>
    <w:rsid w:val="00B07F52"/>
    <w:rsid w:val="00B11085"/>
    <w:rsid w:val="00B1297E"/>
    <w:rsid w:val="00B1315D"/>
    <w:rsid w:val="00B13FD0"/>
    <w:rsid w:val="00B1524F"/>
    <w:rsid w:val="00B1557D"/>
    <w:rsid w:val="00B16A57"/>
    <w:rsid w:val="00B24A56"/>
    <w:rsid w:val="00B24BC9"/>
    <w:rsid w:val="00B303B2"/>
    <w:rsid w:val="00B3055E"/>
    <w:rsid w:val="00B33C0B"/>
    <w:rsid w:val="00B3482A"/>
    <w:rsid w:val="00B46800"/>
    <w:rsid w:val="00B4773B"/>
    <w:rsid w:val="00B47B0D"/>
    <w:rsid w:val="00B53622"/>
    <w:rsid w:val="00B57390"/>
    <w:rsid w:val="00B57FC0"/>
    <w:rsid w:val="00B60223"/>
    <w:rsid w:val="00B626AD"/>
    <w:rsid w:val="00B62AAD"/>
    <w:rsid w:val="00B64001"/>
    <w:rsid w:val="00B75F0D"/>
    <w:rsid w:val="00B80AA4"/>
    <w:rsid w:val="00B8168B"/>
    <w:rsid w:val="00B819E6"/>
    <w:rsid w:val="00B83103"/>
    <w:rsid w:val="00B83C6B"/>
    <w:rsid w:val="00B86300"/>
    <w:rsid w:val="00B92B97"/>
    <w:rsid w:val="00B956CB"/>
    <w:rsid w:val="00B96C5A"/>
    <w:rsid w:val="00BA0057"/>
    <w:rsid w:val="00BA03B2"/>
    <w:rsid w:val="00BA1A7C"/>
    <w:rsid w:val="00BA3B23"/>
    <w:rsid w:val="00BA4EDF"/>
    <w:rsid w:val="00BA6FA3"/>
    <w:rsid w:val="00BA70EE"/>
    <w:rsid w:val="00BA7231"/>
    <w:rsid w:val="00BB1E29"/>
    <w:rsid w:val="00BB2075"/>
    <w:rsid w:val="00BB482B"/>
    <w:rsid w:val="00BB4CFF"/>
    <w:rsid w:val="00BB6432"/>
    <w:rsid w:val="00BB7E0B"/>
    <w:rsid w:val="00BC5867"/>
    <w:rsid w:val="00BC68CF"/>
    <w:rsid w:val="00BC6A28"/>
    <w:rsid w:val="00BC6CCC"/>
    <w:rsid w:val="00BD3023"/>
    <w:rsid w:val="00BD3F00"/>
    <w:rsid w:val="00BD47BA"/>
    <w:rsid w:val="00BD4EF3"/>
    <w:rsid w:val="00BD59CC"/>
    <w:rsid w:val="00BD6BE8"/>
    <w:rsid w:val="00BE1AD1"/>
    <w:rsid w:val="00BE2D15"/>
    <w:rsid w:val="00BE79A4"/>
    <w:rsid w:val="00BF1F30"/>
    <w:rsid w:val="00C02622"/>
    <w:rsid w:val="00C02D6B"/>
    <w:rsid w:val="00C0339C"/>
    <w:rsid w:val="00C03531"/>
    <w:rsid w:val="00C03D08"/>
    <w:rsid w:val="00C065C2"/>
    <w:rsid w:val="00C11E70"/>
    <w:rsid w:val="00C1658D"/>
    <w:rsid w:val="00C214A7"/>
    <w:rsid w:val="00C218BA"/>
    <w:rsid w:val="00C245EA"/>
    <w:rsid w:val="00C26E79"/>
    <w:rsid w:val="00C3716F"/>
    <w:rsid w:val="00C373AB"/>
    <w:rsid w:val="00C4031D"/>
    <w:rsid w:val="00C407D3"/>
    <w:rsid w:val="00C4421B"/>
    <w:rsid w:val="00C4459F"/>
    <w:rsid w:val="00C45D0A"/>
    <w:rsid w:val="00C473F5"/>
    <w:rsid w:val="00C476C9"/>
    <w:rsid w:val="00C52529"/>
    <w:rsid w:val="00C52547"/>
    <w:rsid w:val="00C531CA"/>
    <w:rsid w:val="00C57571"/>
    <w:rsid w:val="00C604FA"/>
    <w:rsid w:val="00C628C8"/>
    <w:rsid w:val="00C62F03"/>
    <w:rsid w:val="00C647CB"/>
    <w:rsid w:val="00C6536C"/>
    <w:rsid w:val="00C659CB"/>
    <w:rsid w:val="00C712AC"/>
    <w:rsid w:val="00C72592"/>
    <w:rsid w:val="00C72CD6"/>
    <w:rsid w:val="00C72D66"/>
    <w:rsid w:val="00C74345"/>
    <w:rsid w:val="00C745F2"/>
    <w:rsid w:val="00C757A9"/>
    <w:rsid w:val="00C800CC"/>
    <w:rsid w:val="00C81F0C"/>
    <w:rsid w:val="00C82326"/>
    <w:rsid w:val="00C82D0E"/>
    <w:rsid w:val="00C85818"/>
    <w:rsid w:val="00C8605C"/>
    <w:rsid w:val="00C90A8C"/>
    <w:rsid w:val="00C92190"/>
    <w:rsid w:val="00CA485C"/>
    <w:rsid w:val="00CA5860"/>
    <w:rsid w:val="00CB04EE"/>
    <w:rsid w:val="00CB0EA0"/>
    <w:rsid w:val="00CB1448"/>
    <w:rsid w:val="00CB1808"/>
    <w:rsid w:val="00CB6956"/>
    <w:rsid w:val="00CB7014"/>
    <w:rsid w:val="00CB7F16"/>
    <w:rsid w:val="00CC405F"/>
    <w:rsid w:val="00CD065C"/>
    <w:rsid w:val="00CD1A77"/>
    <w:rsid w:val="00CD23F1"/>
    <w:rsid w:val="00CD31A5"/>
    <w:rsid w:val="00CD3208"/>
    <w:rsid w:val="00CD4484"/>
    <w:rsid w:val="00CD4EED"/>
    <w:rsid w:val="00CD6ACA"/>
    <w:rsid w:val="00CD7986"/>
    <w:rsid w:val="00CE02C1"/>
    <w:rsid w:val="00CE1216"/>
    <w:rsid w:val="00CE4D84"/>
    <w:rsid w:val="00CE7911"/>
    <w:rsid w:val="00CE7D95"/>
    <w:rsid w:val="00CF25D2"/>
    <w:rsid w:val="00CF46C6"/>
    <w:rsid w:val="00CF57E7"/>
    <w:rsid w:val="00D00932"/>
    <w:rsid w:val="00D01A8F"/>
    <w:rsid w:val="00D01E4F"/>
    <w:rsid w:val="00D027BD"/>
    <w:rsid w:val="00D0311B"/>
    <w:rsid w:val="00D04240"/>
    <w:rsid w:val="00D06031"/>
    <w:rsid w:val="00D06838"/>
    <w:rsid w:val="00D12246"/>
    <w:rsid w:val="00D1793A"/>
    <w:rsid w:val="00D27A12"/>
    <w:rsid w:val="00D33925"/>
    <w:rsid w:val="00D35230"/>
    <w:rsid w:val="00D40AFF"/>
    <w:rsid w:val="00D41CF5"/>
    <w:rsid w:val="00D42297"/>
    <w:rsid w:val="00D42EC0"/>
    <w:rsid w:val="00D42F8A"/>
    <w:rsid w:val="00D44098"/>
    <w:rsid w:val="00D442E4"/>
    <w:rsid w:val="00D47863"/>
    <w:rsid w:val="00D50AEE"/>
    <w:rsid w:val="00D50F7F"/>
    <w:rsid w:val="00D52352"/>
    <w:rsid w:val="00D52F90"/>
    <w:rsid w:val="00D55E5F"/>
    <w:rsid w:val="00D56531"/>
    <w:rsid w:val="00D56F2B"/>
    <w:rsid w:val="00D572EE"/>
    <w:rsid w:val="00D60371"/>
    <w:rsid w:val="00D60C3B"/>
    <w:rsid w:val="00D6248A"/>
    <w:rsid w:val="00D669D6"/>
    <w:rsid w:val="00D7029B"/>
    <w:rsid w:val="00D71160"/>
    <w:rsid w:val="00D734A8"/>
    <w:rsid w:val="00D73DB9"/>
    <w:rsid w:val="00D74043"/>
    <w:rsid w:val="00D7512C"/>
    <w:rsid w:val="00D77878"/>
    <w:rsid w:val="00D84D97"/>
    <w:rsid w:val="00D85D04"/>
    <w:rsid w:val="00D912C8"/>
    <w:rsid w:val="00D912CC"/>
    <w:rsid w:val="00D96384"/>
    <w:rsid w:val="00DA0E87"/>
    <w:rsid w:val="00DA11A5"/>
    <w:rsid w:val="00DA3695"/>
    <w:rsid w:val="00DA3754"/>
    <w:rsid w:val="00DA7B2D"/>
    <w:rsid w:val="00DA7D4B"/>
    <w:rsid w:val="00DB0036"/>
    <w:rsid w:val="00DB1053"/>
    <w:rsid w:val="00DB1081"/>
    <w:rsid w:val="00DB12F1"/>
    <w:rsid w:val="00DB1B65"/>
    <w:rsid w:val="00DB262D"/>
    <w:rsid w:val="00DB5C44"/>
    <w:rsid w:val="00DC1ABD"/>
    <w:rsid w:val="00DC2105"/>
    <w:rsid w:val="00DC212F"/>
    <w:rsid w:val="00DC49A6"/>
    <w:rsid w:val="00DC50CF"/>
    <w:rsid w:val="00DC55E8"/>
    <w:rsid w:val="00DC62B7"/>
    <w:rsid w:val="00DD0E63"/>
    <w:rsid w:val="00DD0EFA"/>
    <w:rsid w:val="00DE10E2"/>
    <w:rsid w:val="00DE4D3E"/>
    <w:rsid w:val="00DE77C7"/>
    <w:rsid w:val="00DE7AA2"/>
    <w:rsid w:val="00DF177F"/>
    <w:rsid w:val="00DF2D23"/>
    <w:rsid w:val="00DF2F36"/>
    <w:rsid w:val="00DF5E33"/>
    <w:rsid w:val="00DF6171"/>
    <w:rsid w:val="00DF7855"/>
    <w:rsid w:val="00E01A1B"/>
    <w:rsid w:val="00E02480"/>
    <w:rsid w:val="00E03697"/>
    <w:rsid w:val="00E04607"/>
    <w:rsid w:val="00E05DF0"/>
    <w:rsid w:val="00E10527"/>
    <w:rsid w:val="00E11A92"/>
    <w:rsid w:val="00E13129"/>
    <w:rsid w:val="00E14A66"/>
    <w:rsid w:val="00E167F6"/>
    <w:rsid w:val="00E16D72"/>
    <w:rsid w:val="00E179AA"/>
    <w:rsid w:val="00E20B09"/>
    <w:rsid w:val="00E23B01"/>
    <w:rsid w:val="00E23C6A"/>
    <w:rsid w:val="00E2681F"/>
    <w:rsid w:val="00E2682F"/>
    <w:rsid w:val="00E26B33"/>
    <w:rsid w:val="00E26E06"/>
    <w:rsid w:val="00E26F32"/>
    <w:rsid w:val="00E300FD"/>
    <w:rsid w:val="00E3151E"/>
    <w:rsid w:val="00E3723F"/>
    <w:rsid w:val="00E40D68"/>
    <w:rsid w:val="00E4165A"/>
    <w:rsid w:val="00E419A6"/>
    <w:rsid w:val="00E41DFA"/>
    <w:rsid w:val="00E42BFD"/>
    <w:rsid w:val="00E52D2C"/>
    <w:rsid w:val="00E5437B"/>
    <w:rsid w:val="00E54486"/>
    <w:rsid w:val="00E54779"/>
    <w:rsid w:val="00E548A7"/>
    <w:rsid w:val="00E565A0"/>
    <w:rsid w:val="00E56C9E"/>
    <w:rsid w:val="00E56D6E"/>
    <w:rsid w:val="00E56FFB"/>
    <w:rsid w:val="00E5722F"/>
    <w:rsid w:val="00E6053E"/>
    <w:rsid w:val="00E6093E"/>
    <w:rsid w:val="00E6095C"/>
    <w:rsid w:val="00E676E9"/>
    <w:rsid w:val="00E703A1"/>
    <w:rsid w:val="00E70F95"/>
    <w:rsid w:val="00E71961"/>
    <w:rsid w:val="00E72C7D"/>
    <w:rsid w:val="00E7329A"/>
    <w:rsid w:val="00E75E92"/>
    <w:rsid w:val="00E80293"/>
    <w:rsid w:val="00E85B2B"/>
    <w:rsid w:val="00E8672D"/>
    <w:rsid w:val="00E86EA0"/>
    <w:rsid w:val="00E8794A"/>
    <w:rsid w:val="00E95D92"/>
    <w:rsid w:val="00E967D6"/>
    <w:rsid w:val="00E96C9A"/>
    <w:rsid w:val="00E97542"/>
    <w:rsid w:val="00E97930"/>
    <w:rsid w:val="00EA1532"/>
    <w:rsid w:val="00EA3C30"/>
    <w:rsid w:val="00EA7CB1"/>
    <w:rsid w:val="00EB07D8"/>
    <w:rsid w:val="00EB1E24"/>
    <w:rsid w:val="00EB40C2"/>
    <w:rsid w:val="00EB4679"/>
    <w:rsid w:val="00EB4A51"/>
    <w:rsid w:val="00EC01E2"/>
    <w:rsid w:val="00EC1127"/>
    <w:rsid w:val="00EC42FB"/>
    <w:rsid w:val="00EC4305"/>
    <w:rsid w:val="00EC4E3C"/>
    <w:rsid w:val="00EC53A4"/>
    <w:rsid w:val="00EC5468"/>
    <w:rsid w:val="00EC59F2"/>
    <w:rsid w:val="00EC5A65"/>
    <w:rsid w:val="00EC6A46"/>
    <w:rsid w:val="00EC7861"/>
    <w:rsid w:val="00EC7A7C"/>
    <w:rsid w:val="00EC7C42"/>
    <w:rsid w:val="00ED4F6F"/>
    <w:rsid w:val="00EE1703"/>
    <w:rsid w:val="00EE1D64"/>
    <w:rsid w:val="00EE1F95"/>
    <w:rsid w:val="00EF0F78"/>
    <w:rsid w:val="00EF52F9"/>
    <w:rsid w:val="00EF6694"/>
    <w:rsid w:val="00F01C8A"/>
    <w:rsid w:val="00F07B36"/>
    <w:rsid w:val="00F112C1"/>
    <w:rsid w:val="00F12D13"/>
    <w:rsid w:val="00F13792"/>
    <w:rsid w:val="00F13DE7"/>
    <w:rsid w:val="00F14227"/>
    <w:rsid w:val="00F1605F"/>
    <w:rsid w:val="00F17157"/>
    <w:rsid w:val="00F17DC4"/>
    <w:rsid w:val="00F21E1B"/>
    <w:rsid w:val="00F25C6C"/>
    <w:rsid w:val="00F3115B"/>
    <w:rsid w:val="00F3214F"/>
    <w:rsid w:val="00F34B7C"/>
    <w:rsid w:val="00F34DB4"/>
    <w:rsid w:val="00F35C7B"/>
    <w:rsid w:val="00F379FF"/>
    <w:rsid w:val="00F37CD5"/>
    <w:rsid w:val="00F40285"/>
    <w:rsid w:val="00F407EA"/>
    <w:rsid w:val="00F41D2B"/>
    <w:rsid w:val="00F44B7F"/>
    <w:rsid w:val="00F45276"/>
    <w:rsid w:val="00F46508"/>
    <w:rsid w:val="00F53F72"/>
    <w:rsid w:val="00F54CCA"/>
    <w:rsid w:val="00F551DE"/>
    <w:rsid w:val="00F5574D"/>
    <w:rsid w:val="00F57C56"/>
    <w:rsid w:val="00F60DAA"/>
    <w:rsid w:val="00F6136D"/>
    <w:rsid w:val="00F63E65"/>
    <w:rsid w:val="00F66D86"/>
    <w:rsid w:val="00F730B2"/>
    <w:rsid w:val="00F7325E"/>
    <w:rsid w:val="00F738CF"/>
    <w:rsid w:val="00F7470D"/>
    <w:rsid w:val="00F75005"/>
    <w:rsid w:val="00F7638F"/>
    <w:rsid w:val="00F80BAB"/>
    <w:rsid w:val="00F8224A"/>
    <w:rsid w:val="00F82F67"/>
    <w:rsid w:val="00F85460"/>
    <w:rsid w:val="00F85AA2"/>
    <w:rsid w:val="00F85C4C"/>
    <w:rsid w:val="00F86194"/>
    <w:rsid w:val="00F877EB"/>
    <w:rsid w:val="00F87C4C"/>
    <w:rsid w:val="00F9129B"/>
    <w:rsid w:val="00F965B1"/>
    <w:rsid w:val="00FA012C"/>
    <w:rsid w:val="00FA6B2A"/>
    <w:rsid w:val="00FB05F9"/>
    <w:rsid w:val="00FB0D17"/>
    <w:rsid w:val="00FB11DC"/>
    <w:rsid w:val="00FB13C3"/>
    <w:rsid w:val="00FB3254"/>
    <w:rsid w:val="00FB385E"/>
    <w:rsid w:val="00FB4D69"/>
    <w:rsid w:val="00FB73A8"/>
    <w:rsid w:val="00FC1E18"/>
    <w:rsid w:val="00FC3FA7"/>
    <w:rsid w:val="00FC4D47"/>
    <w:rsid w:val="00FC5CD7"/>
    <w:rsid w:val="00FC6B5C"/>
    <w:rsid w:val="00FD0887"/>
    <w:rsid w:val="00FD3E42"/>
    <w:rsid w:val="00FD4E45"/>
    <w:rsid w:val="00FD55AF"/>
    <w:rsid w:val="00FD6C6E"/>
    <w:rsid w:val="00FD7E35"/>
    <w:rsid w:val="00FE3A53"/>
    <w:rsid w:val="00FE77CE"/>
    <w:rsid w:val="00FF25FA"/>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E7329A"/>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E7329A"/>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BF7B-2205-419D-B29A-25E79075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7</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49</cp:revision>
  <cp:lastPrinted>2016-06-08T08:49:00Z</cp:lastPrinted>
  <dcterms:created xsi:type="dcterms:W3CDTF">2013-04-01T03:29:00Z</dcterms:created>
  <dcterms:modified xsi:type="dcterms:W3CDTF">2016-06-08T08:49:00Z</dcterms:modified>
</cp:coreProperties>
</file>